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oter4.xml" ContentType="application/vnd.openxmlformats-officedocument.wordprocessingml.footer+xml"/>
  <Override PartName="/word/document.xml" ContentType="application/vnd.openxmlformats-officedocument.wordprocessingml.document.main+xml"/>
  <Override PartName="/word/header4.xml" ContentType="application/vnd.openxmlformats-officedocument.wordprocessingml.head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strike/>
        </w:rPr>
      </w:pPr>
      <w:r>
        <w:rPr>
          <w:strike/>
        </w:rPr>
      </w:r>
      <w:bookmarkStart w:id="0" w:name="_GoBack"/>
      <w:bookmarkStart w:id="1" w:name="_GoBack"/>
      <w:bookmarkEnd w:id="1"/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ind w:firstLine="85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keepNext w:val="true"/>
        <w:keepLines/>
        <w:ind w:firstLine="85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keepNext w:val="true"/>
        <w:keepLines/>
        <w:ind w:firstLine="851"/>
        <w:jc w:val="center"/>
        <w:rPr>
          <w:sz w:val="24"/>
          <w:szCs w:val="24"/>
        </w:rPr>
      </w:pPr>
      <w:r>
        <w:rPr>
          <w:rFonts w:eastAsia="Calibri"/>
          <w:b/>
          <w:sz w:val="24"/>
          <w:szCs w:val="24"/>
        </w:rPr>
        <w:t>Технические требования на оказание услуг</w:t>
      </w:r>
    </w:p>
    <w:p>
      <w:pPr>
        <w:pStyle w:val="Normal"/>
        <w:keepNext w:val="true"/>
        <w:keepLines/>
        <w:ind w:firstLine="85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ОКПД 2: </w:t>
      </w:r>
      <w:r>
        <w:rPr>
          <w:sz w:val="24"/>
          <w:szCs w:val="24"/>
          <w:shd w:fill="FFFFFF" w:val="clear"/>
        </w:rPr>
        <w:t>33.12.19.000 Оказание услуг по текущему ремонту козлового крана г/п 150/30/10т          ГЭС-2 Филиала ПАО «РусГидро»-«Каскад Кубанских ГЭС» для нужд Кубанского филиала</w:t>
      </w:r>
    </w:p>
    <w:p>
      <w:pPr>
        <w:pStyle w:val="Normal"/>
        <w:keepNext w:val="true"/>
        <w:keepLines/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keepNext w:val="true"/>
        <w:keepLines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br w:type="page"/>
      </w:r>
    </w:p>
    <w:p>
      <w:pPr>
        <w:pStyle w:val="Normal"/>
        <w:jc w:val="center"/>
        <w:rPr>
          <w:sz w:val="24"/>
          <w:szCs w:val="24"/>
        </w:rPr>
      </w:pPr>
      <w:r>
        <w:rPr>
          <w:b/>
          <w:sz w:val="24"/>
          <w:szCs w:val="24"/>
        </w:rPr>
        <w:t>СОДЕРЖАНИЕ</w:t>
      </w:r>
    </w:p>
    <w:p>
      <w:pPr>
        <w:pStyle w:val="Normal"/>
        <w:ind w:hanging="0" w:right="-57"/>
        <w:rPr>
          <w:sz w:val="24"/>
          <w:szCs w:val="24"/>
        </w:rPr>
      </w:pPr>
      <w:r>
        <w:rPr>
          <w:b/>
          <w:sz w:val="24"/>
          <w:szCs w:val="24"/>
        </w:rPr>
        <w:t xml:space="preserve">1. </w:t>
      </w:r>
      <w:bookmarkStart w:id="2" w:name="_Toc51339692_Копия_1"/>
      <w:bookmarkStart w:id="3" w:name="_Toc124516412_Копия_1"/>
      <w:r>
        <w:rPr>
          <w:b/>
          <w:sz w:val="24"/>
          <w:szCs w:val="24"/>
        </w:rPr>
        <w:t>Общие сведения ……………………………………………..……………………………………</w:t>
      </w:r>
      <w:bookmarkEnd w:id="2"/>
      <w:bookmarkEnd w:id="3"/>
      <w:r>
        <w:rPr>
          <w:b/>
          <w:sz w:val="24"/>
          <w:szCs w:val="24"/>
        </w:rPr>
        <w:t>...3</w:t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4"/>
            <w:rPr>
              <w:rFonts w:ascii="Calibri" w:hAnsi="Calibri" w:eastAsia="" w:cs="" w:asciiTheme="minorHAnsi" w:cstheme="minorBidi" w:eastAsiaTheme="minorEastAsia" w:hAnsiTheme="minorHAnsi"/>
              <w:sz w:val="22"/>
              <w:szCs w:val="22"/>
            </w:rPr>
          </w:pPr>
          <w:r>
            <w:fldChar w:fldCharType="begin"/>
          </w:r>
          <w:r>
            <w:rPr>
              <w:rStyle w:val="Style15"/>
              <w:iCs/>
              <w:rFonts w:eastAsia="Calibri"/>
            </w:rPr>
            <w:instrText xml:space="preserve"> TOC \o "1-4" \h</w:instrText>
          </w:r>
          <w:r>
            <w:rPr>
              <w:rStyle w:val="Style15"/>
              <w:iCs/>
              <w:rFonts w:eastAsia="Calibri"/>
            </w:rPr>
            <w:fldChar w:fldCharType="separate"/>
          </w:r>
          <w:hyperlink w:anchor="_Toc198284107">
            <w:r>
              <w:rPr>
                <w:rStyle w:val="Style15"/>
                <w:rFonts w:eastAsia="Calibri"/>
                <w:iCs/>
              </w:rPr>
              <w:t>1.1.</w:t>
            </w:r>
            <w:r>
              <w:rPr>
                <w:rStyle w:val="Style15"/>
                <w:rFonts w:eastAsia="" w:cs="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5"/>
                <w:rFonts w:eastAsia="Calibri"/>
              </w:rPr>
              <w:t>Обозначения и сокращения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_Toc198284107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rPr>
              <w:rFonts w:ascii="Calibri" w:hAnsi="Calibri" w:eastAsia="" w:cs="" w:asciiTheme="minorHAnsi" w:cstheme="minorBidi" w:eastAsiaTheme="minorEastAsia" w:hAnsiTheme="minorHAnsi"/>
              <w:sz w:val="22"/>
              <w:szCs w:val="22"/>
            </w:rPr>
          </w:pPr>
          <w:hyperlink w:anchor="_Toc198284108">
            <w:r>
              <w:rPr>
                <w:rStyle w:val="Style15"/>
                <w:rFonts w:eastAsia="Calibri"/>
                <w:iCs/>
              </w:rPr>
              <w:t>1.2.</w:t>
            </w:r>
            <w:r>
              <w:rPr>
                <w:rStyle w:val="Style15"/>
                <w:rFonts w:eastAsia="" w:cs="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5"/>
                <w:rFonts w:eastAsia="Calibri"/>
              </w:rPr>
              <w:t>Наименование закупаемой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_Toc198284108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rPr>
              <w:rFonts w:ascii="Calibri" w:hAnsi="Calibri" w:eastAsia="" w:cs="" w:asciiTheme="minorHAnsi" w:cstheme="minorBidi" w:eastAsiaTheme="minorEastAsia" w:hAnsiTheme="minorHAnsi"/>
              <w:sz w:val="22"/>
              <w:szCs w:val="22"/>
            </w:rPr>
          </w:pPr>
          <w:hyperlink w:anchor="_Toc198284109">
            <w:r>
              <w:rPr>
                <w:rStyle w:val="Style15"/>
                <w:rFonts w:eastAsia="Calibri"/>
                <w:iCs/>
              </w:rPr>
              <w:t>1.3.</w:t>
            </w:r>
            <w:r>
              <w:rPr>
                <w:rStyle w:val="Style15"/>
                <w:rFonts w:eastAsia="" w:cs="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5"/>
                <w:rFonts w:eastAsia="Calibri"/>
              </w:rPr>
              <w:t>Цель оказания услуг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_Toc198284109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rPr>
              <w:rFonts w:ascii="Calibri" w:hAnsi="Calibri" w:eastAsia="" w:cs="" w:asciiTheme="minorHAnsi" w:cstheme="minorBidi" w:eastAsiaTheme="minorEastAsia" w:hAnsiTheme="minorHAnsi"/>
              <w:sz w:val="22"/>
              <w:szCs w:val="22"/>
            </w:rPr>
          </w:pPr>
          <w:hyperlink w:anchor="_Toc198284110">
            <w:r>
              <w:rPr>
                <w:rStyle w:val="Style15"/>
                <w:rFonts w:eastAsia="Calibri"/>
                <w:iCs/>
              </w:rPr>
              <w:t>1.4.</w:t>
            </w:r>
            <w:r>
              <w:rPr>
                <w:rStyle w:val="Style15"/>
                <w:rFonts w:eastAsia="" w:cs="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5"/>
                <w:rFonts w:eastAsia="Calibri"/>
              </w:rPr>
              <w:t>Существующее положение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_Toc198284110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840" w:leader="none"/>
              <w:tab w:val="right" w:pos="9815" w:leader="dot"/>
            </w:tabs>
            <w:rPr>
              <w:rFonts w:ascii="Calibri" w:hAnsi="Calibri" w:eastAsia="" w:cs="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98284111">
            <w:r>
              <w:rPr>
                <w:rStyle w:val="Style15"/>
                <w:rFonts w:eastAsia="Calibri"/>
              </w:rPr>
              <w:t>2.</w:t>
            </w:r>
            <w:r>
              <w:rPr>
                <w:rStyle w:val="Style15"/>
                <w:rFonts w:eastAsia="" w:cs="" w:ascii="Calibri" w:hAnsi="Calibri" w:asciiTheme="minorHAnsi" w:cstheme="minorBidi" w:eastAsiaTheme="minorEastAsia" w:hAnsiTheme="minorHAnsi"/>
                <w:b w:val="false"/>
                <w:bCs w:val="false"/>
                <w:sz w:val="22"/>
                <w:szCs w:val="22"/>
              </w:rPr>
              <w:tab/>
            </w:r>
            <w:r>
              <w:rPr>
                <w:rStyle w:val="Style15"/>
                <w:rFonts w:eastAsia="Calibri"/>
              </w:rPr>
              <w:t>Требования к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_Toc198284111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</w:rPr>
              <w:tab/>
              <w:t>…………………………….……………………………….….....3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rPr>
              <w:rFonts w:ascii="Calibri" w:hAnsi="Calibri" w:eastAsia="" w:cs="" w:asciiTheme="minorHAnsi" w:cstheme="minorBidi" w:eastAsiaTheme="minorEastAsia" w:hAnsiTheme="minorHAnsi"/>
              <w:sz w:val="22"/>
              <w:szCs w:val="22"/>
            </w:rPr>
          </w:pPr>
          <w:hyperlink w:anchor="_Toc198284112">
            <w:r>
              <w:rPr>
                <w:rStyle w:val="Style15"/>
                <w:rFonts w:eastAsia="Calibri"/>
                <w:iCs/>
              </w:rPr>
              <w:t>2.1.</w:t>
            </w:r>
            <w:r>
              <w:rPr>
                <w:rStyle w:val="Style15"/>
                <w:rFonts w:eastAsia="" w:cs="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5"/>
                <w:rFonts w:eastAsia="Calibri"/>
              </w:rPr>
              <w:t>Требования к объемам и срокам оказания услуг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_Toc198284112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rPr>
              <w:rFonts w:ascii="Calibri" w:hAnsi="Calibri" w:eastAsia="" w:cs="" w:asciiTheme="minorHAnsi" w:cstheme="minorBidi" w:eastAsiaTheme="minorEastAsia" w:hAnsiTheme="minorHAnsi"/>
              <w:sz w:val="22"/>
              <w:szCs w:val="22"/>
            </w:rPr>
          </w:pPr>
          <w:hyperlink w:anchor="_Toc198284113">
            <w:r>
              <w:rPr>
                <w:rStyle w:val="Style15"/>
                <w:rFonts w:eastAsia="Calibri"/>
              </w:rPr>
              <w:t>2.1.1.</w:t>
            </w:r>
            <w:r>
              <w:rPr>
                <w:rStyle w:val="Style15"/>
                <w:rFonts w:eastAsia="" w:cs="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5"/>
                <w:rFonts w:eastAsia="Calibri"/>
              </w:rPr>
              <w:t>Требования к видам и объему услуг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_Toc198284113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815" w:leader="dot"/>
            </w:tabs>
            <w:rPr>
              <w:rFonts w:ascii="Calibri" w:hAnsi="Calibri" w:eastAsia="" w:cs="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98284114">
            <w:r>
              <w:rPr>
                <w:rStyle w:val="Style15"/>
                <w:rFonts w:eastAsia="Calibri"/>
              </w:rPr>
              <w:t>Таблица 2. Перечень и объем оказываемых услуг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_Toc198284114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</w:rPr>
              <w:tab/>
              <w:t>……………………………………………….3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rPr>
              <w:rFonts w:ascii="Calibri" w:hAnsi="Calibri" w:eastAsia="" w:cs="" w:asciiTheme="minorHAnsi" w:cstheme="minorBidi" w:eastAsiaTheme="minorEastAsia" w:hAnsiTheme="minorHAnsi"/>
              <w:sz w:val="22"/>
              <w:szCs w:val="22"/>
            </w:rPr>
          </w:pPr>
          <w:hyperlink w:anchor="_Toc198284115">
            <w:r>
              <w:rPr>
                <w:rStyle w:val="Style15"/>
                <w:rFonts w:eastAsia="Calibri"/>
              </w:rPr>
              <w:t>2.1.2.</w:t>
            </w:r>
            <w:r>
              <w:rPr>
                <w:rStyle w:val="Style15"/>
                <w:rFonts w:eastAsia="" w:cs="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5"/>
                <w:rFonts w:eastAsia="Calibri"/>
              </w:rPr>
              <w:t>Требования к срокам оказания услуг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_Toc198284115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815" w:leader="dot"/>
            </w:tabs>
            <w:rPr>
              <w:rFonts w:ascii="Calibri" w:hAnsi="Calibri" w:eastAsia="" w:cs="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98284116">
            <w:r>
              <w:rPr>
                <w:rStyle w:val="Style15"/>
                <w:rFonts w:eastAsia="Calibri"/>
              </w:rPr>
              <w:t>Таблица 3. Требования к срокам оказания услуг………………………………………………...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_Toc198284116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rPr>
              <w:rFonts w:ascii="Calibri" w:hAnsi="Calibri" w:eastAsia="" w:cs="" w:asciiTheme="minorHAnsi" w:cstheme="minorBidi" w:eastAsiaTheme="minorEastAsia" w:hAnsiTheme="minorHAnsi"/>
              <w:sz w:val="22"/>
              <w:szCs w:val="22"/>
            </w:rPr>
          </w:pPr>
          <w:hyperlink w:anchor="_Toc198284117">
            <w:r>
              <w:rPr>
                <w:rStyle w:val="Style15"/>
                <w:rFonts w:eastAsia="Calibri"/>
                <w:iCs/>
              </w:rPr>
              <w:t>2.2.</w:t>
            </w:r>
            <w:r>
              <w:rPr>
                <w:rStyle w:val="Style15"/>
                <w:rFonts w:eastAsia="" w:cs="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5"/>
                <w:rFonts w:eastAsia="Calibri"/>
              </w:rPr>
              <w:t>Требования к качеству услуг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_Toc198284117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815" w:leader="dot"/>
            </w:tabs>
            <w:rPr>
              <w:rFonts w:ascii="Calibri" w:hAnsi="Calibri" w:eastAsia="" w:cs="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98284118">
            <w:r>
              <w:rPr>
                <w:rStyle w:val="Style15"/>
                <w:rFonts w:eastAsia="Calibri"/>
              </w:rPr>
              <w:t>Таблица 4. Требования к качеству услуг………………………………………………………….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_Toc198284118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840" w:leader="none"/>
              <w:tab w:val="right" w:pos="9815" w:leader="dot"/>
            </w:tabs>
            <w:rPr/>
          </w:pPr>
          <w:r>
            <w:rPr/>
            <w:t>3</w:t>
          </w:r>
          <w:hyperlink w:anchor="_Toc198284119">
            <w:r>
              <w:rPr>
                <w:rStyle w:val="Style15"/>
              </w:rPr>
              <w:t>.</w:t>
              <w:tab/>
              <w:t>Требования к документации по ценообразованию на этапе закупки……………….</w:t>
              <w:tab/>
              <w:t>1</w:t>
            </w:r>
          </w:hyperlink>
          <w:r>
            <w:rPr/>
            <w:t>5</w:t>
          </w:r>
        </w:p>
        <w:p>
          <w:pPr>
            <w:pStyle w:val="TOC1"/>
            <w:tabs>
              <w:tab w:val="clear" w:pos="708"/>
              <w:tab w:val="left" w:pos="840" w:leader="none"/>
              <w:tab w:val="right" w:pos="9815" w:leader="dot"/>
            </w:tabs>
            <w:rPr>
              <w:rFonts w:ascii="Calibri" w:hAnsi="Calibri" w:eastAsia="" w:cs="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98284119">
            <w:r>
              <w:rPr>
                <w:rStyle w:val="Style15"/>
                <w:rFonts w:eastAsia="Calibri"/>
              </w:rPr>
              <w:t>4.</w:t>
            </w:r>
            <w:r>
              <w:rPr>
                <w:rStyle w:val="Style15"/>
                <w:rFonts w:eastAsia="" w:cs="" w:ascii="Calibri" w:hAnsi="Calibri" w:asciiTheme="minorHAnsi" w:cstheme="minorBidi" w:eastAsiaTheme="minorEastAsia" w:hAnsiTheme="minorHAnsi"/>
                <w:b w:val="false"/>
                <w:bCs w:val="false"/>
                <w:sz w:val="22"/>
                <w:szCs w:val="22"/>
              </w:rPr>
              <w:tab/>
            </w:r>
            <w:r>
              <w:rPr>
                <w:rStyle w:val="Style15"/>
                <w:rFonts w:eastAsia="Calibri"/>
              </w:rPr>
              <w:t>Требования к документации по ценообразованию на этапе заключения (исполнения) договора……………………………………………………………………………………………….</w:t>
            </w:r>
            <w:r>
              <w:rPr>
                <w:rStyle w:val="Style15"/>
              </w:rPr>
              <w:tab/>
              <w:t>1</w:t>
            </w:r>
          </w:hyperlink>
          <w:r>
            <w:rPr/>
            <w:t>5</w:t>
          </w:r>
        </w:p>
        <w:p>
          <w:pPr>
            <w:pStyle w:val="TOC1"/>
            <w:tabs>
              <w:tab w:val="clear" w:pos="708"/>
              <w:tab w:val="left" w:pos="840" w:leader="none"/>
              <w:tab w:val="right" w:pos="9815" w:leader="dot"/>
            </w:tabs>
            <w:rPr>
              <w:rFonts w:ascii="Calibri" w:hAnsi="Calibri" w:eastAsia="" w:cs="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98284120">
            <w:r>
              <w:rPr>
                <w:rStyle w:val="Style15"/>
                <w:rFonts w:eastAsia="Calibri"/>
              </w:rPr>
              <w:t>5.</w:t>
            </w:r>
            <w:r>
              <w:rPr>
                <w:rStyle w:val="Style15"/>
                <w:rFonts w:eastAsia="" w:cs="" w:ascii="Calibri" w:hAnsi="Calibri" w:asciiTheme="minorHAnsi" w:cstheme="minorBidi" w:eastAsiaTheme="minorEastAsia" w:hAnsiTheme="minorHAnsi"/>
                <w:b w:val="false"/>
                <w:bCs w:val="false"/>
                <w:sz w:val="22"/>
                <w:szCs w:val="22"/>
              </w:rPr>
              <w:tab/>
            </w:r>
            <w:r>
              <w:rPr>
                <w:rStyle w:val="Style15"/>
                <w:rFonts w:eastAsia="Calibri"/>
              </w:rPr>
              <w:t>Приложения…………………………………………………………………………………</w:t>
            </w:r>
            <w:r>
              <w:rPr>
                <w:rStyle w:val="Style15"/>
              </w:rPr>
              <w:tab/>
              <w:t>1</w:t>
            </w:r>
          </w:hyperlink>
          <w:r>
            <w:rPr/>
            <w:t>5</w:t>
          </w:r>
          <w:r>
            <w:rPr/>
            <w:fldChar w:fldCharType="end"/>
          </w:r>
        </w:p>
      </w:sdtContent>
    </w:sdt>
    <w:p>
      <w:pPr>
        <w:pStyle w:val="TOC1"/>
        <w:tabs>
          <w:tab w:val="clear" w:pos="708"/>
          <w:tab w:val="right" w:pos="9825" w:leader="dot"/>
        </w:tabs>
        <w:rPr/>
      </w:pPr>
      <w:r>
        <w:rPr/>
      </w:r>
      <w:r>
        <w:br w:type="page"/>
      </w:r>
    </w:p>
    <w:p>
      <w:pPr>
        <w:pStyle w:val="BodyText"/>
        <w:jc w:val="center"/>
        <w:rPr>
          <w:sz w:val="24"/>
          <w:szCs w:val="24"/>
        </w:rPr>
      </w:pPr>
      <w:r>
        <w:rPr>
          <w:rFonts w:eastAsia="Calibri"/>
          <w:b/>
          <w:sz w:val="24"/>
          <w:szCs w:val="24"/>
        </w:rPr>
        <w:t>1.</w:t>
      </w:r>
      <w:r>
        <w:rPr>
          <w:rFonts w:eastAsia="Calibri"/>
          <w:b/>
          <w:i/>
          <w:sz w:val="24"/>
          <w:szCs w:val="24"/>
        </w:rPr>
        <w:t xml:space="preserve"> </w:t>
      </w:r>
      <w:bookmarkStart w:id="4" w:name="_Toc51339692"/>
      <w:bookmarkStart w:id="5" w:name="_Toc124516412"/>
      <w:r>
        <w:rPr>
          <w:b/>
          <w:sz w:val="24"/>
          <w:szCs w:val="24"/>
        </w:rPr>
        <w:t>Общие сведения</w:t>
      </w:r>
      <w:bookmarkEnd w:id="4"/>
      <w:bookmarkEnd w:id="5"/>
    </w:p>
    <w:p>
      <w:pPr>
        <w:pStyle w:val="Heading4"/>
        <w:numPr>
          <w:ilvl w:val="1"/>
          <w:numId w:val="3"/>
        </w:numPr>
        <w:ind w:hanging="567" w:left="567"/>
        <w:rPr/>
      </w:pPr>
      <w:bookmarkStart w:id="6" w:name="_Toc46743505"/>
      <w:bookmarkStart w:id="7" w:name="_Toc124516413"/>
      <w:bookmarkStart w:id="8" w:name="_Toc198284107"/>
      <w:r>
        <w:rPr/>
        <w:t>Обозначения и сокращения</w:t>
      </w:r>
      <w:bookmarkEnd w:id="6"/>
      <w:bookmarkEnd w:id="7"/>
      <w:bookmarkEnd w:id="8"/>
    </w:p>
    <w:p>
      <w:pPr>
        <w:pStyle w:val="Normal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</w:r>
    </w:p>
    <w:tbl>
      <w:tblPr>
        <w:tblW w:w="10031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1846"/>
        <w:gridCol w:w="8184"/>
      </w:tblGrid>
      <w:tr>
        <w:trPr>
          <w:cantSplit w:val="true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Конечный </w:t>
            </w:r>
            <w:r>
              <w:rPr>
                <w:sz w:val="24"/>
                <w:szCs w:val="24"/>
              </w:rPr>
              <w:t>Заказчик</w:t>
            </w:r>
          </w:p>
        </w:tc>
        <w:tc>
          <w:tcPr>
            <w:tcW w:w="8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ПАО «РусГидро», Красноярский край, г. Красноярск, Филиал ПАО «РусГидро» - «Каскад Кубанских ГЭС»</w:t>
            </w:r>
          </w:p>
        </w:tc>
      </w:tr>
      <w:tr>
        <w:trPr>
          <w:cantSplit w:val="true"/>
        </w:trPr>
        <w:tc>
          <w:tcPr>
            <w:tcW w:w="18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Заказчик</w:t>
            </w:r>
          </w:p>
        </w:tc>
        <w:tc>
          <w:tcPr>
            <w:tcW w:w="8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АО «Гидроремонт-ВКК», 119311, г. Нижний Новгород, пер. Мотальный, д.8 помещ. ВП31, офис С1А</w:t>
            </w:r>
          </w:p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Кубанский филиал АО «Гидроремонт-ВКК» в г. Невинномысск.</w:t>
            </w:r>
          </w:p>
        </w:tc>
      </w:tr>
      <w:tr>
        <w:trPr>
          <w:cantSplit w:val="true"/>
        </w:trPr>
        <w:tc>
          <w:tcPr>
            <w:tcW w:w="18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</w:t>
            </w:r>
          </w:p>
        </w:tc>
        <w:tc>
          <w:tcPr>
            <w:tcW w:w="8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стандарт организации</w:t>
            </w:r>
          </w:p>
        </w:tc>
      </w:tr>
      <w:tr>
        <w:trPr>
          <w:cantSplit w:val="true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ТТ</w:t>
            </w:r>
          </w:p>
        </w:tc>
        <w:tc>
          <w:tcPr>
            <w:tcW w:w="8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технические требования</w:t>
            </w:r>
          </w:p>
        </w:tc>
      </w:tr>
      <w:tr>
        <w:trPr>
          <w:cantSplit w:val="true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ПЗ</w:t>
            </w:r>
          </w:p>
        </w:tc>
        <w:tc>
          <w:tcPr>
            <w:tcW w:w="8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Производственное здание</w:t>
            </w:r>
          </w:p>
        </w:tc>
      </w:tr>
      <w:tr>
        <w:trPr>
          <w:cantSplit w:val="true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РЗ</w:t>
            </w:r>
          </w:p>
        </w:tc>
        <w:tc>
          <w:tcPr>
            <w:tcW w:w="8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Рабочее задание</w:t>
            </w:r>
          </w:p>
        </w:tc>
      </w:tr>
      <w:tr>
        <w:trPr>
          <w:cantSplit w:val="true"/>
        </w:trPr>
        <w:tc>
          <w:tcPr>
            <w:tcW w:w="18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ФНП</w:t>
            </w:r>
          </w:p>
        </w:tc>
        <w:tc>
          <w:tcPr>
            <w:tcW w:w="8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Федеральные нормы и правила в области промышленной безопасности</w:t>
            </w:r>
          </w:p>
        </w:tc>
      </w:tr>
      <w:tr>
        <w:trPr>
          <w:cantSplit w:val="true"/>
        </w:trPr>
        <w:tc>
          <w:tcPr>
            <w:tcW w:w="18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НТД</w:t>
            </w:r>
          </w:p>
        </w:tc>
        <w:tc>
          <w:tcPr>
            <w:tcW w:w="8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Нормативно-технический документ</w:t>
            </w:r>
          </w:p>
        </w:tc>
      </w:tr>
    </w:tbl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4"/>
        <w:numPr>
          <w:ilvl w:val="1"/>
          <w:numId w:val="3"/>
        </w:numPr>
        <w:ind w:hanging="567" w:left="567"/>
        <w:rPr/>
      </w:pPr>
      <w:bookmarkStart w:id="9" w:name="_Toc124516414"/>
      <w:bookmarkStart w:id="10" w:name="_Toc198284108"/>
      <w:r>
        <w:rPr/>
        <w:t>Наименование закупаемой продукции</w:t>
      </w:r>
      <w:bookmarkEnd w:id="9"/>
      <w:bookmarkEnd w:id="10"/>
    </w:p>
    <w:p>
      <w:pPr>
        <w:pStyle w:val="Normal"/>
        <w:keepNext w:val="true"/>
        <w:keepLine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ОКПД 2: </w:t>
      </w:r>
      <w:r>
        <w:rPr>
          <w:sz w:val="24"/>
          <w:szCs w:val="24"/>
          <w:shd w:fill="FFFFFF" w:val="clear"/>
        </w:rPr>
        <w:t>33.12.19.000 Оказание услуг по текущему ремонту козлового крана г/п 150/30/10т          ГЭС-2 Филиала ПАО «РусГидро»-«Каскад Кубанских ГЭС» для нужд Кубанского филиала.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4"/>
        <w:numPr>
          <w:ilvl w:val="1"/>
          <w:numId w:val="3"/>
        </w:numPr>
        <w:rPr/>
      </w:pPr>
      <w:bookmarkStart w:id="11" w:name="_Toc198284109"/>
      <w:r>
        <w:rPr>
          <w:lang w:val="ru-RU"/>
        </w:rPr>
        <w:t>Цель оказания услуг</w:t>
      </w:r>
      <w:bookmarkEnd w:id="11"/>
      <w:r>
        <w:rPr/>
        <w:t xml:space="preserve"> 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x-none"/>
        </w:rPr>
        <w:t>Исполнение обязательств по Договору возмездного оказания услуг: №1210-20-2026 от 26.01.2026</w:t>
      </w:r>
      <w:r>
        <w:rPr>
          <w:color w:val="000000"/>
          <w:sz w:val="24"/>
          <w:szCs w:val="24"/>
          <w:shd w:fill="FFFFFF" w:val="clear"/>
          <w:lang w:eastAsia="x-none"/>
        </w:rPr>
        <w:t xml:space="preserve">г. </w:t>
      </w:r>
      <w:r>
        <w:rPr>
          <w:color w:val="000000"/>
          <w:sz w:val="24"/>
          <w:szCs w:val="24"/>
          <w:lang w:eastAsia="x-none"/>
        </w:rPr>
        <w:t>«Оказание услуг по эксплуатации подъемных сооружений», заключенного между ПАО «РусГидро» - «Каскад Кубанских ГЭС» и Кубанским филиалом АО «Гидроремонт-ВКК»</w:t>
      </w:r>
      <w:r>
        <w:rPr>
          <w:sz w:val="24"/>
          <w:szCs w:val="24"/>
        </w:rPr>
        <w:t xml:space="preserve">. </w:t>
      </w:r>
      <w:r>
        <w:rPr>
          <w:color w:val="000000"/>
          <w:sz w:val="24"/>
          <w:szCs w:val="24"/>
          <w:lang w:eastAsia="x-none"/>
        </w:rPr>
        <w:t xml:space="preserve">Восстановление исправности и полного или близкой к полному восстановлению ресурса </w:t>
      </w:r>
      <w:r>
        <w:rPr>
          <w:sz w:val="24"/>
          <w:szCs w:val="24"/>
        </w:rPr>
        <w:t>козлового крана г/п 150/30/10т. ГЭС-2</w:t>
      </w:r>
      <w:r>
        <w:rPr>
          <w:sz w:val="24"/>
          <w:szCs w:val="24"/>
          <w:lang w:val="en-US"/>
        </w:rPr>
        <w:t xml:space="preserve"> </w:t>
      </w:r>
      <w:r>
        <w:rPr>
          <w:color w:val="000000"/>
          <w:sz w:val="24"/>
          <w:szCs w:val="24"/>
          <w:lang w:eastAsia="x-none"/>
        </w:rPr>
        <w:t>с заменой изношенных частей и элементов.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jc w:val="both"/>
        <w:rPr>
          <w:color w:val="000000"/>
          <w:lang w:eastAsia="x-none"/>
        </w:rPr>
      </w:pPr>
      <w:r>
        <w:rPr>
          <w:color w:val="000000"/>
          <w:lang w:eastAsia="x-none"/>
        </w:rPr>
      </w:r>
    </w:p>
    <w:p>
      <w:pPr>
        <w:pStyle w:val="Heading4"/>
        <w:numPr>
          <w:ilvl w:val="1"/>
          <w:numId w:val="3"/>
        </w:numPr>
        <w:rPr/>
      </w:pPr>
      <w:bookmarkStart w:id="12" w:name="_Toc198284110"/>
      <w:r>
        <w:rPr/>
        <w:t>Существу</w:t>
      </w:r>
      <w:r>
        <w:rPr>
          <w:lang w:val="ru-RU"/>
        </w:rPr>
        <w:t>ющее положение</w:t>
      </w:r>
      <w:bookmarkEnd w:id="12"/>
    </w:p>
    <w:p>
      <w:pPr>
        <w:pStyle w:val="Normal"/>
        <w:widowControl w:val="false"/>
        <w:tabs>
          <w:tab w:val="clear" w:pos="708"/>
          <w:tab w:val="left" w:pos="426" w:leader="none"/>
        </w:tabs>
        <w:jc w:val="both"/>
        <w:rPr>
          <w:sz w:val="24"/>
          <w:szCs w:val="24"/>
        </w:rPr>
      </w:pPr>
      <w:bookmarkStart w:id="13" w:name="_Toc174631311_Копия_1"/>
      <w:bookmarkStart w:id="14" w:name="_Toc187839840_Копия_1"/>
      <w:bookmarkEnd w:id="13"/>
      <w:bookmarkEnd w:id="14"/>
      <w:r>
        <w:rPr>
          <w:sz w:val="24"/>
          <w:szCs w:val="24"/>
        </w:rPr>
        <w:t xml:space="preserve">1.4.1. Услуги выполняются на территории </w:t>
      </w:r>
      <w:r>
        <w:rPr>
          <w:iCs/>
          <w:sz w:val="24"/>
          <w:szCs w:val="24"/>
        </w:rPr>
        <w:t>Филиал ПАО «РусГидро» - «Каскад Кубанских ГЭС».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1.4.2. </w:t>
      </w:r>
      <w:r>
        <w:rPr>
          <w:sz w:val="24"/>
          <w:szCs w:val="24"/>
          <w:shd w:fill="FFFFFF" w:val="clear"/>
        </w:rPr>
        <w:t>Производство услуг в существующих зданиях и сооружениях в стесненных условиях с наличием в зоне действующего технологического оборудования (станков, установок, кранов и т.п.) или загромождающих предметов (лабораторное оборудование, мебель и т. п.) или движения транспорта по внутрицеховым путям.</w:t>
      </w:r>
    </w:p>
    <w:p>
      <w:pPr>
        <w:pStyle w:val="Heading4"/>
        <w:tabs>
          <w:tab w:val="clear" w:pos="0"/>
          <w:tab w:val="clear" w:pos="735"/>
          <w:tab w:val="clear" w:pos="960"/>
          <w:tab w:val="left" w:pos="225" w:leader="none"/>
          <w:tab w:val="left" w:pos="675" w:leader="none"/>
        </w:tabs>
        <w:rPr>
          <w:rFonts w:eastAsia="Times New Roman"/>
          <w:b w:val="false"/>
          <w:color w:val="000000"/>
          <w:shd w:fill="FFFF00" w:val="clear"/>
        </w:rPr>
      </w:pPr>
      <w:r>
        <w:rPr>
          <w:rFonts w:eastAsia="Times New Roman"/>
          <w:b w:val="false"/>
          <w:color w:val="000000"/>
          <w:shd w:fill="FFFF00" w:val="clear"/>
        </w:rPr>
      </w:r>
      <w:bookmarkStart w:id="15" w:name="_Toc174631311"/>
      <w:bookmarkStart w:id="16" w:name="_Toc187839840"/>
      <w:bookmarkStart w:id="17" w:name="_Toc174631311"/>
      <w:bookmarkStart w:id="18" w:name="_Toc187839840"/>
      <w:bookmarkEnd w:id="17"/>
      <w:bookmarkEnd w:id="18"/>
    </w:p>
    <w:p>
      <w:pPr>
        <w:pStyle w:val="Normal"/>
        <w:tabs>
          <w:tab w:val="clear" w:pos="708"/>
          <w:tab w:val="left" w:pos="1134" w:leader="none"/>
        </w:tabs>
        <w:spacing w:before="0" w:after="0"/>
        <w:contextualSpacing/>
        <w:rPr>
          <w:bCs/>
          <w:sz w:val="24"/>
          <w:szCs w:val="24"/>
        </w:rPr>
      </w:pPr>
      <w:r>
        <w:rPr>
          <w:bCs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rPr>
          <w:sz w:val="24"/>
          <w:szCs w:val="24"/>
        </w:rPr>
      </w:pPr>
      <w:r>
        <w:rPr>
          <w:b/>
          <w:sz w:val="24"/>
          <w:szCs w:val="24"/>
        </w:rPr>
        <w:t>Таблица 1. Перечень объектов заказчика</w:t>
      </w:r>
    </w:p>
    <w:tbl>
      <w:tblPr>
        <w:tblW w:w="10338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675"/>
        <w:gridCol w:w="2827"/>
        <w:gridCol w:w="2560"/>
        <w:gridCol w:w="2717"/>
        <w:gridCol w:w="1559"/>
      </w:tblGrid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объекта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  <w:br/>
              <w:t>(место оказания услуг)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  <w:br/>
              <w:t>(в отношении которого выполняются услуги)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Примечания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>
        <w:trPr>
          <w:trHeight w:val="864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8"/>
              </w:numPr>
              <w:spacing w:before="0" w:after="0"/>
              <w:contextualSpacing/>
              <w:rPr>
                <w:rFonts w:eastAsia="Calibri"/>
                <w:i/>
                <w:i/>
                <w:iCs/>
                <w:sz w:val="24"/>
                <w:szCs w:val="24"/>
              </w:rPr>
            </w:pPr>
            <w:r>
              <w:rPr>
                <w:rFonts w:eastAsia="Calibri"/>
                <w:i/>
                <w:iCs/>
                <w:sz w:val="24"/>
                <w:szCs w:val="24"/>
              </w:rPr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left" w:pos="1134" w:leader="none"/>
              </w:tabs>
              <w:spacing w:before="0" w:after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x-none"/>
              </w:rPr>
            </w:pPr>
            <w:r>
              <w:rPr>
                <w:bCs/>
                <w:sz w:val="24"/>
                <w:szCs w:val="24"/>
                <w:lang w:eastAsia="x-none"/>
              </w:rPr>
            </w:r>
          </w:p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left" w:pos="1134" w:leader="none"/>
              </w:tabs>
              <w:spacing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x-none"/>
              </w:rPr>
              <w:t>ГЭС-2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Россия, Карачаево-Черкеская респ., Прикубанский район, п. Ударный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Козловой кран г/п 150/30/10т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Heading4"/>
        <w:tabs>
          <w:tab w:val="clear" w:pos="0"/>
          <w:tab w:val="left" w:pos="735" w:leader="none"/>
          <w:tab w:val="left" w:pos="960" w:leader="none"/>
        </w:tabs>
        <w:rPr/>
      </w:pPr>
      <w:r>
        <w:rPr/>
      </w:r>
    </w:p>
    <w:p>
      <w:pPr>
        <w:pStyle w:val="Heading1"/>
        <w:numPr>
          <w:ilvl w:val="0"/>
          <w:numId w:val="3"/>
        </w:numPr>
        <w:ind w:hanging="0" w:left="3175"/>
        <w:rPr>
          <w:sz w:val="24"/>
          <w:szCs w:val="24"/>
        </w:rPr>
      </w:pPr>
      <w:bookmarkStart w:id="19" w:name="__RefHeading___Toc2079_1456059687"/>
      <w:bookmarkStart w:id="20" w:name="_Toc51339693"/>
      <w:bookmarkStart w:id="21" w:name="_Toc124516416"/>
      <w:bookmarkStart w:id="22" w:name="_Toc198284111"/>
      <w:bookmarkStart w:id="23" w:name="_Toc50125126"/>
      <w:bookmarkEnd w:id="19"/>
      <w:bookmarkEnd w:id="23"/>
      <w:r>
        <w:rPr>
          <w:sz w:val="24"/>
          <w:szCs w:val="24"/>
        </w:rPr>
        <w:t>Требования к продукции</w:t>
      </w:r>
      <w:bookmarkEnd w:id="20"/>
      <w:bookmarkEnd w:id="21"/>
      <w:bookmarkEnd w:id="22"/>
    </w:p>
    <w:p>
      <w:pPr>
        <w:pStyle w:val="Heading4"/>
        <w:numPr>
          <w:ilvl w:val="1"/>
          <w:numId w:val="3"/>
        </w:numPr>
        <w:rPr/>
      </w:pPr>
      <w:bookmarkStart w:id="24" w:name="_Toc198284112"/>
      <w:bookmarkStart w:id="25" w:name="_Toc124516417"/>
      <w:r>
        <w:rPr/>
        <w:t xml:space="preserve">Требования к объемам и срокам </w:t>
      </w:r>
      <w:bookmarkEnd w:id="25"/>
      <w:r>
        <w:rPr>
          <w:lang w:val="ru-RU"/>
        </w:rPr>
        <w:t>оказания услуг</w:t>
      </w:r>
      <w:bookmarkEnd w:id="24"/>
    </w:p>
    <w:p>
      <w:pPr>
        <w:pStyle w:val="Heading3"/>
        <w:numPr>
          <w:ilvl w:val="2"/>
          <w:numId w:val="3"/>
        </w:numPr>
        <w:ind w:hanging="1072" w:left="1072"/>
        <w:rPr/>
      </w:pPr>
      <w:bookmarkStart w:id="26" w:name="_Toc198284113"/>
      <w:bookmarkStart w:id="27" w:name="_Toc124516418"/>
      <w:r>
        <w:rPr/>
        <w:t xml:space="preserve">Требования к </w:t>
      </w:r>
      <w:bookmarkEnd w:id="27"/>
      <w:r>
        <w:rPr>
          <w:lang w:val="ru-RU"/>
        </w:rPr>
        <w:t>видам</w:t>
      </w:r>
      <w:r>
        <w:rPr/>
        <w:t xml:space="preserve"> и объему услуг</w:t>
      </w:r>
      <w:bookmarkEnd w:id="26"/>
    </w:p>
    <w:p>
      <w:pPr>
        <w:pStyle w:val="Heading1"/>
        <w:tabs>
          <w:tab w:val="clear" w:pos="0"/>
          <w:tab w:val="left" w:pos="735" w:leader="none"/>
          <w:tab w:val="left" w:pos="960" w:leader="none"/>
        </w:tabs>
        <w:rPr>
          <w:sz w:val="24"/>
          <w:szCs w:val="24"/>
        </w:rPr>
      </w:pPr>
      <w:bookmarkStart w:id="28" w:name="_Toc198284114"/>
      <w:bookmarkStart w:id="29" w:name="_Toc124516419"/>
      <w:bookmarkStart w:id="30" w:name="_Toc51339695"/>
      <w:r>
        <w:rPr>
          <w:sz w:val="24"/>
          <w:szCs w:val="24"/>
        </w:rPr>
        <w:t xml:space="preserve">Таблица 2. Перечень </w:t>
      </w:r>
      <w:bookmarkEnd w:id="30"/>
      <w:r>
        <w:rPr>
          <w:sz w:val="24"/>
          <w:szCs w:val="24"/>
        </w:rPr>
        <w:t xml:space="preserve">и объем </w:t>
      </w:r>
      <w:bookmarkEnd w:id="29"/>
      <w:r>
        <w:rPr>
          <w:sz w:val="24"/>
          <w:szCs w:val="24"/>
        </w:rPr>
        <w:t>оказываемых услуг</w:t>
      </w:r>
      <w:bookmarkEnd w:id="28"/>
    </w:p>
    <w:tbl>
      <w:tblPr>
        <w:tblW w:w="10348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568"/>
        <w:gridCol w:w="6097"/>
        <w:gridCol w:w="1700"/>
        <w:gridCol w:w="1982"/>
      </w:tblGrid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услуг / этапа услуг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</w:tr>
      <w:tr>
        <w:trPr>
          <w:trHeight w:val="246" w:hRule="atLeast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>
          <w:trHeight w:val="1100" w:hRule="atLeast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/>
            </w:pPr>
            <w:r>
              <w:rPr/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ОКПД 2: 33.12.19.000 Оказание услуг по текущему ремонту козлового крана г/п 150/30/10т. ГЭС-2 Филиала  ПАО «РусГидро»-«Каскад Кубанских ГЭС» для нужд Кубанского филиала</w:t>
            </w:r>
          </w:p>
        </w:tc>
        <w:tc>
          <w:tcPr>
            <w:tcW w:w="3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ведомостью объёмов услуг (Приложение №3 к настоящим Техническим требованиям)</w:t>
            </w:r>
          </w:p>
        </w:tc>
      </w:tr>
    </w:tbl>
    <w:p>
      <w:pPr>
        <w:pStyle w:val="Heading3"/>
        <w:tabs>
          <w:tab w:val="clear" w:pos="0"/>
          <w:tab w:val="left" w:pos="735" w:leader="none"/>
          <w:tab w:val="left" w:pos="960" w:leader="none"/>
        </w:tabs>
        <w:ind w:hanging="0" w:left="1072"/>
        <w:rPr>
          <w:lang w:val="ru-RU"/>
        </w:rPr>
      </w:pPr>
      <w:r>
        <w:rPr>
          <w:lang w:val="ru-RU"/>
        </w:rPr>
      </w:r>
    </w:p>
    <w:p>
      <w:pPr>
        <w:pStyle w:val="Heading3"/>
        <w:numPr>
          <w:ilvl w:val="2"/>
          <w:numId w:val="3"/>
        </w:numPr>
        <w:ind w:hanging="1072" w:left="1072"/>
        <w:rPr/>
      </w:pPr>
      <w:bookmarkStart w:id="31" w:name="_Toc198284115"/>
      <w:bookmarkStart w:id="32" w:name="_Toc124516420"/>
      <w:bookmarkStart w:id="33" w:name="_Toc51339696"/>
      <w:r>
        <w:rPr/>
        <w:t xml:space="preserve">Требования </w:t>
      </w:r>
      <w:bookmarkEnd w:id="33"/>
      <w:r>
        <w:rPr/>
        <w:t xml:space="preserve">к срокам </w:t>
      </w:r>
      <w:bookmarkEnd w:id="32"/>
      <w:r>
        <w:rPr/>
        <w:t>оказания услуг</w:t>
      </w:r>
      <w:bookmarkEnd w:id="31"/>
    </w:p>
    <w:p>
      <w:pPr>
        <w:pStyle w:val="Heading1"/>
        <w:tabs>
          <w:tab w:val="clear" w:pos="0"/>
          <w:tab w:val="left" w:pos="735" w:leader="none"/>
          <w:tab w:val="left" w:pos="960" w:leader="none"/>
        </w:tabs>
        <w:rPr>
          <w:sz w:val="24"/>
          <w:szCs w:val="24"/>
        </w:rPr>
      </w:pPr>
      <w:bookmarkStart w:id="34" w:name="_Toc198284116"/>
      <w:bookmarkStart w:id="35" w:name="_Toc124516421"/>
      <w:bookmarkStart w:id="36" w:name="_Toc50125127"/>
      <w:bookmarkStart w:id="37" w:name="_Toc51339697"/>
      <w:bookmarkStart w:id="38" w:name="_Toc50125126_Копия_1"/>
      <w:bookmarkEnd w:id="38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3</w:t>
      </w:r>
      <w:r>
        <w:rPr>
          <w:sz w:val="24"/>
          <w:szCs w:val="24"/>
        </w:rPr>
        <w:t xml:space="preserve">. </w:t>
      </w:r>
      <w:bookmarkStart w:id="39" w:name="_Hlk50465284"/>
      <w:r>
        <w:rPr>
          <w:sz w:val="24"/>
          <w:szCs w:val="24"/>
        </w:rPr>
        <w:t xml:space="preserve">Требования </w:t>
      </w:r>
      <w:bookmarkEnd w:id="35"/>
      <w:bookmarkEnd w:id="36"/>
      <w:bookmarkEnd w:id="37"/>
      <w:bookmarkEnd w:id="39"/>
      <w:r>
        <w:rPr>
          <w:sz w:val="24"/>
          <w:szCs w:val="24"/>
        </w:rPr>
        <w:t>к срокам оказания услуг</w:t>
      </w:r>
      <w:bookmarkEnd w:id="34"/>
    </w:p>
    <w:tbl>
      <w:tblPr>
        <w:tblW w:w="9776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1134"/>
        <w:gridCol w:w="3660"/>
        <w:gridCol w:w="1872"/>
        <w:gridCol w:w="3109"/>
      </w:tblGrid>
      <w:tr>
        <w:trPr/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услуг/ этапа услуг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выполнения услуг/ этапа услуг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выполнения услуг / этапа услуг*</w:t>
            </w:r>
          </w:p>
        </w:tc>
      </w:tr>
      <w:tr>
        <w:trPr/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keepNext w:val="false"/>
              <w:widowControl w:val="false"/>
              <w:spacing w:before="0" w:after="0"/>
              <w:ind w:hanging="0" w:left="0" w:right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keepNext w:val="false"/>
              <w:widowControl w:val="false"/>
              <w:spacing w:before="0" w:after="0"/>
              <w:ind w:hanging="0" w:left="0" w:right="0"/>
              <w:jc w:val="center"/>
              <w:rPr>
                <w:sz w:val="24"/>
                <w:szCs w:val="24"/>
              </w:rPr>
            </w:pPr>
            <w:bookmarkStart w:id="40" w:name="_Toc46743510"/>
            <w:r>
              <w:rPr>
                <w:b/>
                <w:sz w:val="24"/>
                <w:szCs w:val="24"/>
              </w:rPr>
              <w:t>4</w:t>
            </w:r>
            <w:bookmarkEnd w:id="40"/>
          </w:p>
        </w:tc>
      </w:tr>
      <w:tr>
        <w:trPr/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ОКПД 2: 33.12.19.000 Оказание услуг по текущему ремонту козлового крана г/п 150/30/10т. ГЭС-2 Филиала  ПАО «РусГидро»-«Каскад Кубанских ГЭС» для нужд Кубанского филиала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7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подписания договора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7"/>
              <w:widowControl w:val="false"/>
              <w:jc w:val="center"/>
              <w:rPr>
                <w:highlight w:val="none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не позднее 31.08.2026*</w:t>
            </w:r>
          </w:p>
        </w:tc>
      </w:tr>
      <w:tr>
        <w:trPr/>
        <w:tc>
          <w:tcPr>
            <w:tcW w:w="9775" w:type="dxa"/>
            <w:gridSpan w:val="4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shd w:fill="FFFFFF" w:val="clear"/>
              </w:rPr>
              <w:t>* Срок установлен в соответствии с условиями договора, указанного в п.1.4.1. Технических требований.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shd w:fill="FFFFFF" w:val="clear"/>
                <w:lang w:eastAsia="x-none"/>
              </w:rPr>
              <w:t xml:space="preserve">Сроки проведения услуг по ремонту крана могут быть изменены в связи с режимом работы </w:t>
            </w:r>
            <w:r>
              <w:rPr>
                <w:sz w:val="24"/>
                <w:szCs w:val="24"/>
                <w:shd w:fill="FFFFFF" w:val="clear"/>
              </w:rPr>
              <w:t xml:space="preserve">Филиала ПАО «РусГидро»-«Каскад Кубанских ГЭС» </w:t>
            </w:r>
            <w:r>
              <w:rPr>
                <w:sz w:val="24"/>
                <w:szCs w:val="24"/>
                <w:shd w:fill="FFFFFF" w:val="clear"/>
                <w:lang w:eastAsia="x-none"/>
              </w:rPr>
              <w:t xml:space="preserve">и фактическим состоянием оборудования в соответствии с подаваемыми ежегодными и месячными плановыми графиками ремонтов основного оборудования, и согласованными диспетчерскими заявками. </w:t>
            </w:r>
          </w:p>
        </w:tc>
      </w:tr>
    </w:tbl>
    <w:p>
      <w:pPr>
        <w:sectPr>
          <w:headerReference w:type="default" r:id="rId2"/>
          <w:footerReference w:type="default" r:id="rId3"/>
          <w:type w:val="nextPage"/>
          <w:pgSz w:w="11906" w:h="16838"/>
          <w:pgMar w:left="1230" w:right="580" w:gutter="0" w:header="0" w:top="567" w:footer="0" w:bottom="567"/>
          <w:pgNumType w:fmt="decimal"/>
          <w:formProt w:val="false"/>
          <w:textDirection w:val="lrTb"/>
          <w:docGrid w:type="default" w:linePitch="381" w:charSpace="0"/>
        </w:sectPr>
      </w:pPr>
    </w:p>
    <w:p>
      <w:pPr>
        <w:pStyle w:val="Heading4"/>
        <w:numPr>
          <w:ilvl w:val="1"/>
          <w:numId w:val="3"/>
        </w:numPr>
        <w:rPr/>
      </w:pPr>
      <w:bookmarkStart w:id="41" w:name="_Toc51339698"/>
      <w:bookmarkStart w:id="42" w:name="_Toc198284117"/>
      <w:bookmarkStart w:id="43" w:name="_Toc124516422"/>
      <w:r>
        <w:rPr/>
        <w:t xml:space="preserve">Требования к </w:t>
      </w:r>
      <w:r>
        <w:rPr>
          <w:lang w:val="ru-RU"/>
        </w:rPr>
        <w:t xml:space="preserve">качеству </w:t>
      </w:r>
      <w:bookmarkEnd w:id="43"/>
      <w:r>
        <w:rPr>
          <w:lang w:val="ru-RU"/>
        </w:rPr>
        <w:t>услуг</w:t>
      </w:r>
      <w:bookmarkEnd w:id="42"/>
    </w:p>
    <w:p>
      <w:pPr>
        <w:pStyle w:val="Normal"/>
        <w:ind w:hanging="432" w:left="432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1"/>
        <w:tabs>
          <w:tab w:val="clear" w:pos="0"/>
          <w:tab w:val="left" w:pos="735" w:leader="none"/>
          <w:tab w:val="left" w:pos="960" w:leader="none"/>
        </w:tabs>
        <w:rPr>
          <w:sz w:val="24"/>
          <w:szCs w:val="24"/>
        </w:rPr>
      </w:pPr>
      <w:bookmarkStart w:id="44" w:name="_Toc198284118"/>
      <w:bookmarkStart w:id="45" w:name="_Toc124516423"/>
      <w:r>
        <w:rPr>
          <w:sz w:val="24"/>
          <w:szCs w:val="24"/>
        </w:rPr>
        <w:t>Таблица </w:t>
      </w:r>
      <w:r>
        <w:rPr>
          <w:sz w:val="24"/>
          <w:szCs w:val="24"/>
          <w:lang w:val="ru-RU"/>
        </w:rPr>
        <w:t>4</w:t>
      </w:r>
      <w:r>
        <w:rPr>
          <w:sz w:val="24"/>
          <w:szCs w:val="24"/>
        </w:rPr>
        <w:t xml:space="preserve">. Требования к </w:t>
      </w:r>
      <w:bookmarkEnd w:id="41"/>
      <w:r>
        <w:rPr>
          <w:sz w:val="24"/>
          <w:szCs w:val="24"/>
          <w:lang w:val="ru-RU"/>
        </w:rPr>
        <w:t xml:space="preserve">качеству </w:t>
      </w:r>
      <w:bookmarkEnd w:id="45"/>
      <w:r>
        <w:rPr>
          <w:sz w:val="24"/>
          <w:szCs w:val="24"/>
          <w:lang w:val="ru-RU"/>
        </w:rPr>
        <w:t>услуг</w:t>
      </w:r>
      <w:bookmarkEnd w:id="44"/>
      <w:r>
        <w:rPr>
          <w:sz w:val="24"/>
          <w:szCs w:val="24"/>
        </w:rPr>
        <w:t xml:space="preserve"> </w:t>
      </w:r>
    </w:p>
    <w:p>
      <w:pPr>
        <w:pStyle w:val="Normal"/>
        <w:rPr>
          <w:sz w:val="24"/>
          <w:szCs w:val="24"/>
        </w:rPr>
      </w:pPr>
      <w:r>
        <w:rPr>
          <w:bCs/>
          <w:sz w:val="24"/>
          <w:szCs w:val="24"/>
        </w:rPr>
        <w:t>Наименование услуг/этапа услуг: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  <w:lang w:eastAsia="x-none"/>
        </w:rPr>
        <w:t>Позиция № 1 Таблицы 2. Перечень и объем оказываемых услуг</w:t>
      </w:r>
    </w:p>
    <w:p>
      <w:pPr>
        <w:pStyle w:val="Normal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</w:r>
    </w:p>
    <w:tbl>
      <w:tblPr>
        <w:tblW w:w="15422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820"/>
        <w:gridCol w:w="2128"/>
        <w:gridCol w:w="7796"/>
        <w:gridCol w:w="2409"/>
        <w:gridCol w:w="2269"/>
      </w:tblGrid>
      <w:tr>
        <w:trPr>
          <w:trHeight w:val="276" w:hRule="atLeast"/>
        </w:trPr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r>
              <w:rPr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21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77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</w:tr>
      <w:tr>
        <w:trPr>
          <w:trHeight w:val="276" w:hRule="atLeast"/>
        </w:trPr>
        <w:tc>
          <w:tcPr>
            <w:tcW w:w="8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77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Согласие с требованием/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указание характеристик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tabs>
                <w:tab w:val="clear" w:pos="708"/>
                <w:tab w:val="left" w:pos="-120" w:leader="none"/>
                <w:tab w:val="left" w:pos="165" w:leader="none"/>
              </w:tabs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оказанию услуг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Участник должен предоставить в заявке согласие оказать услуги, полностью соответствующие настоящим техническим требованиям.</w:t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i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-//-</w:t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ind w:hanging="0"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Общие требования к оказанию услуг</w:t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3"/>
              </w:numPr>
              <w:ind w:hanging="340" w:left="340"/>
              <w:jc w:val="center"/>
              <w:rPr/>
            </w:pPr>
            <w:r>
              <w:rPr/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Соблюдение норм и правил нормативно-технических документов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020" w:leader="none"/>
              </w:tabs>
              <w:ind w:hanging="0" w:left="0"/>
              <w:jc w:val="both"/>
              <w:rPr/>
            </w:pPr>
            <w:r>
              <w:rPr>
                <w:u w:val="single"/>
              </w:rPr>
              <w:t>При оказании услуг Исполниетель должен руководствоваться следующими национальными, отраслевыми и корпоративными нормативно-техническими документами (НТД):</w:t>
            </w:r>
          </w:p>
          <w:p>
            <w:pPr>
              <w:pStyle w:val="ListParagraph"/>
              <w:widowControl w:val="false"/>
              <w:numPr>
                <w:ilvl w:val="0"/>
                <w:numId w:val="21"/>
              </w:numPr>
              <w:tabs>
                <w:tab w:val="clear" w:pos="708"/>
                <w:tab w:val="left" w:pos="450" w:leader="none"/>
              </w:tabs>
              <w:ind w:hanging="0" w:left="170"/>
              <w:jc w:val="both"/>
              <w:rPr/>
            </w:pPr>
            <w:r>
              <w:rPr/>
              <w:t xml:space="preserve">Услуги должны быть оказаны в строгом соответствии с </w:t>
            </w:r>
            <w:r>
              <w:rPr>
                <w:shd w:fill="FFFFFF" w:val="clear"/>
              </w:rPr>
              <w:t>Таблица 3.     Требования к срокам оказания услуг к техническим требованиям;</w:t>
            </w:r>
          </w:p>
          <w:p>
            <w:pPr>
              <w:pStyle w:val="ListParagraph"/>
              <w:widowControl w:val="false"/>
              <w:numPr>
                <w:ilvl w:val="0"/>
                <w:numId w:val="21"/>
              </w:numPr>
              <w:tabs>
                <w:tab w:val="clear" w:pos="708"/>
                <w:tab w:val="left" w:pos="450" w:leader="none"/>
              </w:tabs>
              <w:ind w:hanging="0" w:left="170"/>
              <w:jc w:val="both"/>
              <w:rPr/>
            </w:pPr>
            <w:r>
              <w:rPr/>
              <w:t>СТО РусГидро 02.01.62-2021 «Электрические станции и сети. Ремонт и техническое обслуживание оборудования, зданий и сооружений»;</w:t>
            </w:r>
          </w:p>
          <w:p>
            <w:pPr>
              <w:pStyle w:val="ListParagraph"/>
              <w:widowControl w:val="false"/>
              <w:numPr>
                <w:ilvl w:val="0"/>
                <w:numId w:val="21"/>
              </w:numPr>
              <w:tabs>
                <w:tab w:val="clear" w:pos="708"/>
                <w:tab w:val="left" w:pos="450" w:leader="none"/>
              </w:tabs>
              <w:ind w:hanging="0" w:left="170"/>
              <w:jc w:val="both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/>
                <w:sz w:val="24"/>
                <w:szCs w:val="24"/>
                <w:shd w:fill="FFFFFF" w:val="clear"/>
                <w:lang w:eastAsia="ru-RU"/>
              </w:rPr>
              <w:t xml:space="preserve">ГОСТ Р 72193-2025 «Гидроэлектростанции и гидроаккумулирующие электростанции. Гидротехнические сооружения. Гидросиловое </w:t>
              <w:br/>
              <w:t>и механическое оборудование. Правила организации безопасного обслуживания</w:t>
            </w:r>
            <w:r>
              <w:rPr>
                <w:rFonts w:cs="Times New Roman"/>
                <w:sz w:val="24"/>
                <w:szCs w:val="24"/>
                <w:shd w:fill="FFFFFF" w:val="clear"/>
              </w:rPr>
              <w:t>»</w:t>
            </w:r>
            <w:r>
              <w:rPr>
                <w:sz w:val="24"/>
                <w:szCs w:val="24"/>
                <w:shd w:fill="FFFFFF" w:val="clear"/>
              </w:rPr>
              <w:t>;</w:t>
            </w:r>
          </w:p>
          <w:p>
            <w:pPr>
              <w:pStyle w:val="ListParagraph"/>
              <w:widowControl w:val="false"/>
              <w:numPr>
                <w:ilvl w:val="0"/>
                <w:numId w:val="21"/>
              </w:numPr>
              <w:tabs>
                <w:tab w:val="clear" w:pos="708"/>
                <w:tab w:val="left" w:pos="450" w:leader="none"/>
              </w:tabs>
              <w:ind w:hanging="0" w:left="170"/>
              <w:jc w:val="both"/>
              <w:rPr/>
            </w:pPr>
            <w:r>
              <w:rPr/>
              <w:t>Правила организации технического обслуживания и ремонта объектов электроэнергетики» Приказ Минэнерго от 25 октября 2017 года №1013;</w:t>
            </w:r>
          </w:p>
          <w:p>
            <w:pPr>
              <w:pStyle w:val="ListParagraph"/>
              <w:widowControl w:val="false"/>
              <w:numPr>
                <w:ilvl w:val="0"/>
                <w:numId w:val="21"/>
              </w:numPr>
              <w:tabs>
                <w:tab w:val="clear" w:pos="708"/>
                <w:tab w:val="left" w:pos="450" w:leader="none"/>
              </w:tabs>
              <w:ind w:hanging="0" w:left="170"/>
              <w:jc w:val="both"/>
              <w:rPr/>
            </w:pPr>
            <w:r>
              <w:rPr/>
              <w:t>ФНП в области промышленной безопасности «Правила безопасности ОПО, на которых используются подъемные сооружения» (Утверждены приказом Федеральной службы по экологическому, технологическому и атомному надзору от 26.11.2020 №461).</w:t>
            </w:r>
          </w:p>
          <w:p>
            <w:pPr>
              <w:pStyle w:val="ListParagraph"/>
              <w:widowControl w:val="false"/>
              <w:numPr>
                <w:ilvl w:val="0"/>
                <w:numId w:val="21"/>
              </w:numPr>
              <w:tabs>
                <w:tab w:val="clear" w:pos="708"/>
                <w:tab w:val="left" w:pos="510" w:leader="none"/>
                <w:tab w:val="left" w:pos="570" w:leader="none"/>
              </w:tabs>
              <w:ind w:hanging="0" w:left="113"/>
              <w:jc w:val="both"/>
              <w:rPr/>
            </w:pPr>
            <w:r>
              <w:rPr/>
              <w:t>Правила по охране труда при работе на высоте (Приложение к приказу Министерства труда и социальной защиты Российской Федерации от 16 ноября 2020г. №782н).</w:t>
            </w:r>
          </w:p>
          <w:p>
            <w:pPr>
              <w:pStyle w:val="ListParagraph"/>
              <w:widowControl w:val="false"/>
              <w:numPr>
                <w:ilvl w:val="0"/>
                <w:numId w:val="21"/>
              </w:numPr>
              <w:tabs>
                <w:tab w:val="clear" w:pos="708"/>
                <w:tab w:val="left" w:pos="510" w:leader="none"/>
                <w:tab w:val="left" w:pos="570" w:leader="none"/>
              </w:tabs>
              <w:ind w:hanging="0" w:left="113"/>
              <w:jc w:val="both"/>
              <w:rPr/>
            </w:pPr>
            <w:r>
              <w:rPr/>
              <w:t>СО 34.04.181-2003 «Правила организации технического обслуживания и ремонта оборудования, зданий и сооружений электростанций и сетей» (утверждены РАО ЕЭС России 25.12.2003);</w:t>
            </w:r>
          </w:p>
          <w:p>
            <w:pPr>
              <w:pStyle w:val="ListParagraph"/>
              <w:widowControl w:val="false"/>
              <w:numPr>
                <w:ilvl w:val="0"/>
                <w:numId w:val="21"/>
              </w:numPr>
              <w:tabs>
                <w:tab w:val="clear" w:pos="708"/>
                <w:tab w:val="left" w:pos="510" w:leader="none"/>
                <w:tab w:val="left" w:pos="570" w:leader="none"/>
              </w:tabs>
              <w:ind w:hanging="0" w:left="113"/>
              <w:jc w:val="both"/>
              <w:rPr/>
            </w:pPr>
            <w:r>
              <w:rPr/>
              <w:t>«Инструкция по обращению с отходами производства и потребления филиала ПАО «РусГидро» - «Каскад Кубанских ГЭС», ТИ-13-064-2020 от 10.06.2020г.</w:t>
            </w:r>
          </w:p>
          <w:p>
            <w:pPr>
              <w:pStyle w:val="ListParagraph"/>
              <w:widowControl w:val="false"/>
              <w:numPr>
                <w:ilvl w:val="0"/>
                <w:numId w:val="21"/>
              </w:numPr>
              <w:tabs>
                <w:tab w:val="clear" w:pos="708"/>
                <w:tab w:val="left" w:pos="510" w:leader="none"/>
                <w:tab w:val="left" w:pos="570" w:leader="none"/>
              </w:tabs>
              <w:ind w:hanging="0" w:left="113"/>
              <w:jc w:val="both"/>
              <w:rPr/>
            </w:pPr>
            <w:r>
              <w:rPr/>
              <w:t>Эксплуатационной документацией на Козловой кран г/п 100/30/10т ГЭС-1;</w:t>
            </w:r>
          </w:p>
          <w:p>
            <w:pPr>
              <w:pStyle w:val="ListParagraph"/>
              <w:widowControl w:val="false"/>
              <w:numPr>
                <w:ilvl w:val="0"/>
                <w:numId w:val="21"/>
              </w:numPr>
              <w:tabs>
                <w:tab w:val="clear" w:pos="708"/>
                <w:tab w:val="left" w:pos="510" w:leader="none"/>
                <w:tab w:val="left" w:pos="570" w:leader="none"/>
              </w:tabs>
              <w:ind w:hanging="0" w:left="113"/>
              <w:jc w:val="both"/>
              <w:rPr/>
            </w:pPr>
            <w:r>
              <w:rPr/>
              <w:t>Иными нормативными документами, устанавливающими требования в области охраны труда, промышленной, пожарной и экологической безопасности, промышленной санитарии и охраны окружающей среды, действующих на момент оказания услуг. Ответственность за нарушения предусматривается условиями заключенного договора.</w:t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процедурам оказания услуг</w:t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4"/>
              </w:numPr>
              <w:tabs>
                <w:tab w:val="clear" w:pos="708"/>
                <w:tab w:val="left" w:pos="740" w:leader="none"/>
              </w:tabs>
              <w:ind w:hanging="360" w:left="360"/>
              <w:jc w:val="center"/>
              <w:rPr/>
            </w:pPr>
            <w:r>
              <w:rPr/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Организационно-технические мероприятия по допуску персонала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373" w:leader="none"/>
              </w:tabs>
              <w:ind w:hanging="0" w:left="25"/>
              <w:jc w:val="both"/>
              <w:rPr/>
            </w:pPr>
            <w:r>
              <w:rPr/>
              <w:t>Услуги оказываются в соответствии НТД, указанными в Таблице 4, п. 1.1.1 настоящего ТТ.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73" w:leader="none"/>
              </w:tabs>
              <w:ind w:hanging="0" w:left="25"/>
              <w:jc w:val="both"/>
              <w:rPr/>
            </w:pPr>
            <w:r>
              <w:rPr/>
              <w:t xml:space="preserve">Услуги оказываются в соответствии с утвержденным </w:t>
            </w:r>
            <w:r>
              <w:rPr>
                <w:lang w:eastAsia="x-none"/>
              </w:rPr>
              <w:t xml:space="preserve">проектом производства работ </w:t>
            </w:r>
            <w:r>
              <w:rPr/>
              <w:t>(ППР) и планом производства работ на высоте.</w:t>
            </w:r>
          </w:p>
          <w:p>
            <w:pPr>
              <w:pStyle w:val="ListParagraph"/>
              <w:widowControl w:val="false"/>
              <w:ind w:hanging="0" w:left="0"/>
              <w:jc w:val="both"/>
              <w:rPr>
                <w:highlight w:val="none"/>
                <w:shd w:fill="FFFFFF" w:val="clear"/>
              </w:rPr>
            </w:pPr>
            <w:r>
              <w:rPr>
                <w:iCs/>
                <w:shd w:fill="FFFFFF" w:val="clear"/>
              </w:rPr>
              <w:t>Все необходимые услуги (включая необходимое оборудование и технику, материалы, аппаратуру), работы с применением грузоподъёмных механизмов (включая работы, связанные с транспортировкой, разгрузкой на территории и доставкой на место оказания услуг) выполняются силами и средствами Исполнителя.</w:t>
            </w:r>
          </w:p>
          <w:p>
            <w:pPr>
              <w:pStyle w:val="ListParagraph"/>
              <w:widowControl w:val="false"/>
              <w:ind w:hanging="0" w:left="0"/>
              <w:jc w:val="both"/>
              <w:rPr/>
            </w:pPr>
            <w:r>
              <w:rPr>
                <w:iCs/>
              </w:rPr>
              <w:t>Утилизация отходов должна производиться в соответствии с «Инструкцией по обращению с отходами производства и потребления филиала ПАО «РусГидро» – «Каскад кубанских ГЭС», которая будет предоставлена Исполнителю до начала оказания услуг.</w:t>
            </w:r>
          </w:p>
          <w:p>
            <w:pPr>
              <w:pStyle w:val="ListParagraph"/>
              <w:widowControl w:val="false"/>
              <w:ind w:hanging="0" w:left="0"/>
              <w:jc w:val="both"/>
              <w:rPr/>
            </w:pPr>
            <w:r>
              <w:rPr>
                <w:iCs/>
              </w:rPr>
              <w:t>Все образующиеся в процессе услуг отходы и мусор вывозятся и утилизируются силами и средствами Исполнителя.</w:t>
            </w:r>
          </w:p>
          <w:p>
            <w:pPr>
              <w:pStyle w:val="ListParagraph"/>
              <w:widowControl w:val="false"/>
              <w:ind w:hanging="0" w:left="0"/>
              <w:jc w:val="both"/>
              <w:rPr/>
            </w:pPr>
            <w:r>
              <w:rPr>
                <w:iCs/>
              </w:rPr>
              <w:t>Исполнитель должен: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 назначить из числа своих сотрудников представителя для оперативного рассмотрения и решения технических и организационных вопросов, связанных с оказанием услуг, а также ответственного за соблюдение норм и правил в области охраны труда, пожарной и промышленной безопасности в месте производства услуг. Полномочия указанного представителя должны быть подтверждены надлежащим образом оформленным документом, передаваемым Заказчику по его письменному запросу;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 принять у Заказчика техническую и иную документацию;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   обеспечить оказание всех необходимых мероприятий по охране труда, пожарной и промышленной безопасности, охране окружающей среды в соответствии с законодательством Российской Федерации, локальными нормативными актами Конечного Заказчика и Заказчика;</w:t>
            </w:r>
          </w:p>
          <w:p>
            <w:pPr>
              <w:pStyle w:val="ListParagraph"/>
              <w:widowControl w:val="false"/>
              <w:numPr>
                <w:ilvl w:val="0"/>
                <w:numId w:val="22"/>
              </w:numPr>
              <w:suppressAutoHyphens w:val="false"/>
              <w:ind w:hanging="0" w:left="0"/>
              <w:jc w:val="both"/>
              <w:rPr/>
            </w:pPr>
            <w:r>
              <w:rPr/>
              <w:t>использовать в услуге собственный (Исполнителя) или арендованный инструмент, приспособления и механизмы;</w:t>
            </w:r>
          </w:p>
          <w:p>
            <w:pPr>
              <w:pStyle w:val="ListParagraph"/>
              <w:widowControl w:val="false"/>
              <w:numPr>
                <w:ilvl w:val="0"/>
                <w:numId w:val="22"/>
              </w:numPr>
              <w:tabs>
                <w:tab w:val="clear" w:pos="708"/>
                <w:tab w:val="left" w:pos="373" w:leader="none"/>
              </w:tabs>
              <w:suppressAutoHyphens w:val="false"/>
              <w:ind w:hanging="0" w:left="25"/>
              <w:jc w:val="both"/>
              <w:rPr/>
            </w:pPr>
            <w:r>
              <w:rPr>
                <w:iCs/>
              </w:rPr>
              <w:t>проводить совместные технические совещания с участием служб Заказчика по вопросам организации и осуществления контроля и технического надзора за ходом оказания услуг;</w:t>
            </w:r>
          </w:p>
          <w:p>
            <w:pPr>
              <w:pStyle w:val="ListParagraph"/>
              <w:widowControl w:val="false"/>
              <w:numPr>
                <w:ilvl w:val="0"/>
                <w:numId w:val="22"/>
              </w:numPr>
              <w:tabs>
                <w:tab w:val="clear" w:pos="708"/>
                <w:tab w:val="left" w:pos="373" w:leader="none"/>
              </w:tabs>
              <w:suppressAutoHyphens w:val="false"/>
              <w:ind w:hanging="0" w:left="25"/>
              <w:jc w:val="both"/>
              <w:rPr/>
            </w:pPr>
            <w:r>
              <w:rPr>
                <w:iCs/>
              </w:rPr>
              <w:t>обеспечить подготовку объекта к сдаче-приемке, защитных ограждений, вывоз с территории оборудования, инструмента, мусора, уборку объекта ремонта.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73" w:leader="none"/>
              </w:tabs>
              <w:ind w:hanging="0" w:left="0"/>
              <w:jc w:val="both"/>
              <w:rPr/>
            </w:pPr>
            <w:r>
              <w:rPr/>
              <w:t>Технический контроль должен включать в себя надзор за правильностью и последовательностью выполнения отдельных технологических операций;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73" w:leader="none"/>
              </w:tabs>
              <w:ind w:hanging="0" w:left="0"/>
              <w:jc w:val="both"/>
              <w:rPr/>
            </w:pPr>
            <w:r>
              <w:rPr/>
              <w:t>Приемочный контроль Перечень этапов и видов услуг, подлежащих приемке, должен быть согласован с Заказчиком.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70" w:leader="none"/>
              </w:tabs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Передача по трехстороннему акту приемки-передачи на склад Конечного Заказчика демонтированного оборудования и материалов.</w:t>
            </w:r>
          </w:p>
          <w:p>
            <w:pPr>
              <w:pStyle w:val="ListParagraph"/>
              <w:widowControl w:val="false"/>
              <w:ind w:hanging="0" w:left="0"/>
              <w:jc w:val="both"/>
              <w:rPr/>
            </w:pPr>
            <w:r>
              <w:rPr>
                <w:u w:val="single"/>
              </w:rPr>
              <w:t>Допуск персонала Исполнителя для выполнения услуг должен осуществляться в соответствии с</w:t>
            </w:r>
          </w:p>
          <w:p>
            <w:pPr>
              <w:pStyle w:val="ListParagraph"/>
              <w:widowControl w:val="false"/>
              <w:numPr>
                <w:ilvl w:val="0"/>
                <w:numId w:val="20"/>
              </w:numPr>
              <w:tabs>
                <w:tab w:val="clear" w:pos="708"/>
                <w:tab w:val="left" w:pos="426" w:leader="none"/>
              </w:tabs>
              <w:ind w:hanging="0" w:left="113"/>
              <w:jc w:val="both"/>
              <w:rPr/>
            </w:pPr>
            <w:r>
              <w:rPr/>
              <w:t>«Временным положением о допуске персонала строительно-монтажных организаций и командированного персонала к выполнению работ на объектах ПАО «РусГидро» (утв. приказом ОАО «РусГидро» №736 от 13.11.2008 г) (раздел 5, Приложение №2 к ТТ) с обязательным оформлением необходимых нарядов-допусков.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570" w:leader="none"/>
              </w:tabs>
              <w:ind w:hanging="0" w:left="170"/>
              <w:jc w:val="both"/>
              <w:rPr/>
            </w:pPr>
            <w:r>
              <w:rPr/>
              <w:t>При проведении услуг исполнитель должен иметь право работы по нарядам-допускам и быть ответственным за организацию безопасного проведения услуг (выдающий наряд, руководитель работ, производитель работ, член бригады).</w:t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применяемым при оказании услуг оборудованию и материалам</w:t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5"/>
              </w:numPr>
              <w:ind w:hanging="360" w:left="360"/>
              <w:rPr/>
            </w:pPr>
            <w:r>
              <w:rPr/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используемым материалам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>
                <w:b/>
                <w:sz w:val="24"/>
                <w:szCs w:val="24"/>
                <w:shd w:fill="FFFF00" w:val="clear"/>
              </w:rPr>
            </w:pPr>
            <w:r>
              <w:rPr>
                <w:b/>
                <w:sz w:val="24"/>
                <w:szCs w:val="24"/>
                <w:shd w:fill="FFFF00" w:val="clear"/>
              </w:rPr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345" w:leader="none"/>
                <w:tab w:val="left" w:pos="795" w:leader="none"/>
              </w:tabs>
              <w:ind w:hanging="0" w:left="113"/>
              <w:jc w:val="both"/>
              <w:rPr>
                <w:highlight w:val="none"/>
                <w:shd w:fill="FFFFFF" w:val="clear"/>
              </w:rPr>
            </w:pPr>
            <w:r>
              <w:rPr>
                <w:shd w:fill="FFFFFF" w:val="clear"/>
              </w:rPr>
              <w:t xml:space="preserve">Материалы, передаваемые Исполнителю для оказания услуг, указаны в перечне передаваемого Давальческого материала (Приложение № 6 к настоящему Техническому заданию) и передаются </w:t>
            </w:r>
            <w:r>
              <w:rPr>
                <w:color w:val="000000"/>
                <w:shd w:fill="FFFFFF" w:val="clear"/>
              </w:rPr>
              <w:t>по накладной на отпуск материалов на сторону формы М-15, утвержденной Постановлением Госкомстата России от 30.10.1997 №71А.</w:t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перечню и объему услуг</w:t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ind w:hanging="0" w:left="0"/>
              <w:rPr>
                <w:lang w:val="en-US"/>
              </w:rPr>
            </w:pPr>
            <w:r>
              <w:rPr>
                <w:lang w:val="en-US"/>
              </w:rPr>
              <w:t>1.4.1</w:t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Разработка и согласование с Заказчиком календарного плана производства услуг. Календарный план производства услуг по виду услуг (устанавливается последовательность оказания услуг, а также указание производства совмещенных услуг).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Перед началом оказания услуг (за 30 дней) разработать и согласовать с Заказчиком Проекта производства работ и План производства работ на высоте (при необходимости).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Объемы работ указаны в ведомости объемов услуг Приложение №3 к данному Техническому требованию (далее по тексту ТТ).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Согласование со службой эксплуатации Филиал ПАО «РусГидро» - «Каскад Кубанских ГЭС» мест подключения временных коммуникаций (технические условия на подключения выдаются после получения от Исполнителя официального запроса с указанием потребных ресурсов в количественных и качественных показателях).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завершении оказания услуг: оформление исполнительной и отчётной документации по оказанным услугам. Вся техническая документация предоставляется на бумажном носителе (3 экземпляра) и электронном носителе (1 экземпляр) в формате (PDF, TIFF). Предъявление результатов услуг комиссии с участием Заказчика и Конечного Заказчика, оформление отчетной и исполнительной документации</w:t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персоналу исполнителя</w:t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ind w:hanging="0" w:left="0"/>
              <w:rPr>
                <w:lang w:val="en-US"/>
              </w:rPr>
            </w:pPr>
            <w:r>
              <w:rPr>
                <w:lang w:val="en-US"/>
              </w:rPr>
              <w:t xml:space="preserve">1.5.1 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персоналу</w:t>
            </w:r>
          </w:p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ListParagraph"/>
              <w:widowControl w:val="false"/>
              <w:shd w:val="clear" w:color="auto" w:fill="FFFFFF"/>
              <w:tabs>
                <w:tab w:val="clear" w:pos="708"/>
                <w:tab w:val="left" w:pos="357" w:leader="none"/>
              </w:tabs>
              <w:ind w:hanging="0" w:left="57"/>
              <w:jc w:val="both"/>
              <w:rPr/>
            </w:pPr>
            <w:r>
              <w:rPr>
                <w:rFonts w:eastAsia="Times New Roman"/>
                <w:bCs/>
                <w:iCs/>
              </w:rPr>
              <w:t>Соответствовать требованиям раздела II Федеральных норм и правил в области промышленной безопасности «Правила безопасности опасных производственных объектов, на которых используются подъемные сооружения», утвержденных приказом Ростехнадзора от 26.11.2020 № 461.</w:t>
            </w:r>
          </w:p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left" w:pos="34" w:leader="none"/>
              </w:tabs>
              <w:jc w:val="both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Направлять на объект работников, обученных правилам безопасного ведения работ и имеющих право быть ответственными лицами за безопасное ведение работ при работах по наряду-допуску и распоряжению (возможно совмещение):</w:t>
            </w:r>
          </w:p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left" w:pos="34" w:leader="none"/>
              </w:tabs>
              <w:jc w:val="both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- выдающим наряд;</w:t>
            </w:r>
          </w:p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left" w:pos="34" w:leader="none"/>
              </w:tabs>
              <w:jc w:val="both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- руководителем работ; </w:t>
            </w:r>
          </w:p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left" w:pos="34" w:leader="none"/>
              </w:tabs>
              <w:jc w:val="both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- производителями работ.</w:t>
            </w:r>
          </w:p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left" w:pos="37" w:leader="none"/>
                <w:tab w:val="left" w:pos="428" w:leader="none"/>
              </w:tabs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— </w:t>
            </w:r>
            <w:r>
              <w:rPr>
                <w:iCs/>
                <w:sz w:val="24"/>
                <w:szCs w:val="24"/>
              </w:rPr>
              <w:t>Предоставление списка персонала, имеющего право быть ответственными лицами при выполнении работ по наряду-допуску или распоряжению согласно Приказу Минтруда и социальной защиты, Российской Федерации от 15 декабря 2020 года №903н об утверждении Правил по охране труда при эксплуатации электроустановок;</w:t>
            </w:r>
          </w:p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left" w:pos="37" w:leader="none"/>
                <w:tab w:val="left" w:pos="428" w:leader="none"/>
              </w:tabs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— </w:t>
            </w:r>
            <w:r>
              <w:rPr>
                <w:iCs/>
                <w:sz w:val="24"/>
                <w:szCs w:val="24"/>
              </w:rPr>
              <w:t>До начала проведения услуг, в рамках исполнения договора, после его заключения, Исполнитель предоставляет список персонала с указанием сведений о квалификации персонала, разряде и группе по электробезопасности с приложением копий удостоверений на производство специальных видов услуг (испытания повышенным напряжением, огневых работ, работ с электроинструментом) -возможно совмещение специальностей);</w:t>
            </w:r>
          </w:p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left" w:pos="426" w:leader="none"/>
              </w:tabs>
              <w:spacing w:before="60" w:after="0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 Наличие квалифицированного персонала с правом проведения работ на высоте:</w:t>
            </w:r>
          </w:p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left" w:pos="426" w:leader="none"/>
              </w:tabs>
              <w:spacing w:before="60" w:after="0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- </w:t>
            </w:r>
            <w:r>
              <w:rPr>
                <w:iCs/>
                <w:sz w:val="24"/>
                <w:szCs w:val="24"/>
                <w:lang w:val="en-US"/>
              </w:rPr>
              <w:t>III</w:t>
            </w:r>
            <w:r>
              <w:rPr>
                <w:iCs/>
                <w:sz w:val="24"/>
                <w:szCs w:val="24"/>
              </w:rPr>
              <w:t xml:space="preserve"> группа по безопасности работ на высоте;</w:t>
            </w:r>
          </w:p>
          <w:p>
            <w:pPr>
              <w:pStyle w:val="ListParagraph"/>
              <w:widowControl w:val="false"/>
              <w:shd w:val="clear" w:color="auto" w:fill="FFFFFF"/>
              <w:tabs>
                <w:tab w:val="clear" w:pos="708"/>
                <w:tab w:val="left" w:pos="37" w:leader="none"/>
              </w:tabs>
              <w:spacing w:before="60" w:after="0"/>
              <w:ind w:hanging="0" w:left="0"/>
              <w:contextualSpacing/>
              <w:rPr/>
            </w:pPr>
            <w:r>
              <w:rPr>
                <w:rFonts w:eastAsia="Times New Roman"/>
                <w:iCs/>
              </w:rPr>
              <w:t xml:space="preserve">- не ниже </w:t>
            </w:r>
            <w:r>
              <w:rPr>
                <w:rFonts w:eastAsia="Times New Roman"/>
                <w:iCs/>
                <w:lang w:val="en-US"/>
              </w:rPr>
              <w:t>III</w:t>
            </w:r>
            <w:r>
              <w:rPr>
                <w:rFonts w:eastAsia="Times New Roman"/>
                <w:iCs/>
              </w:rPr>
              <w:t xml:space="preserve"> группы по электробезопасности;</w:t>
            </w:r>
          </w:p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left" w:pos="426" w:leader="none"/>
              </w:tabs>
              <w:spacing w:before="60" w:after="0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- </w:t>
            </w:r>
            <w:r>
              <w:rPr>
                <w:iCs/>
                <w:sz w:val="24"/>
                <w:szCs w:val="24"/>
                <w:lang w:val="en-US"/>
              </w:rPr>
              <w:t>II</w:t>
            </w:r>
            <w:r>
              <w:rPr>
                <w:iCs/>
                <w:sz w:val="24"/>
                <w:szCs w:val="24"/>
              </w:rPr>
              <w:t xml:space="preserve"> группа по безопасности работ на высоте;</w:t>
            </w:r>
          </w:p>
          <w:p>
            <w:pPr>
              <w:pStyle w:val="ListParagraph"/>
              <w:widowControl w:val="false"/>
              <w:shd w:val="clear" w:color="auto" w:fill="FFFFFF"/>
              <w:tabs>
                <w:tab w:val="clear" w:pos="708"/>
                <w:tab w:val="left" w:pos="357" w:leader="none"/>
              </w:tabs>
              <w:ind w:hanging="0" w:left="57"/>
              <w:jc w:val="both"/>
              <w:rPr/>
            </w:pPr>
            <w:r>
              <w:rPr>
                <w:rFonts w:eastAsia="Times New Roman"/>
                <w:iCs/>
              </w:rPr>
              <w:t>Предоставление списка квалифицированного персонала за 10 (десять) рабочих дней до даты начала оказания услуг.</w:t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165" w:hRule="atLeast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ind w:hanging="0" w:left="0"/>
              <w:rPr>
                <w:lang w:val="en-US"/>
              </w:rPr>
            </w:pPr>
            <w:r>
              <w:rPr>
                <w:lang w:val="en-US"/>
              </w:rPr>
              <w:t>1.5.2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Документальное подтверждение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>Для подтверждения принадлежности данных лиц к Исполниетелю должны быть предоставлены:</w:t>
            </w:r>
          </w:p>
          <w:p>
            <w:pPr>
              <w:pStyle w:val="ListParagraph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426" w:leader="none"/>
              </w:tabs>
              <w:ind w:hanging="0" w:left="113"/>
              <w:jc w:val="both"/>
              <w:rPr/>
            </w:pPr>
            <w:r>
              <w:rPr/>
              <w:t>копии трудового договора или копии трудовых книжек или копии приказов о приёме на работу;</w:t>
            </w:r>
          </w:p>
          <w:p>
            <w:pPr>
              <w:pStyle w:val="ListParagraph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0" w:leader="none"/>
                <w:tab w:val="left" w:pos="352" w:leader="none"/>
              </w:tabs>
              <w:ind w:hanging="0" w:left="57"/>
              <w:jc w:val="both"/>
              <w:rPr/>
            </w:pPr>
            <w:r>
              <w:rPr>
                <w:rFonts w:eastAsia="Times New Roman"/>
              </w:rPr>
              <w:t>копию страниц паспорта;</w:t>
            </w:r>
          </w:p>
          <w:p>
            <w:pPr>
              <w:pStyle w:val="ListParagraph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450" w:leader="none"/>
              </w:tabs>
              <w:ind w:hanging="0" w:left="57"/>
              <w:jc w:val="both"/>
              <w:rPr/>
            </w:pPr>
            <w:r>
              <w:rPr>
                <w:rFonts w:eastAsia="Times New Roman"/>
              </w:rPr>
              <w:t>справку об отсутствии судимости;</w:t>
            </w:r>
          </w:p>
          <w:p>
            <w:pPr>
              <w:pStyle w:val="ListParagraph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426" w:leader="none"/>
              </w:tabs>
              <w:ind w:hanging="0" w:left="57"/>
              <w:jc w:val="both"/>
              <w:rPr/>
            </w:pPr>
            <w:r>
              <w:rPr>
                <w:rFonts w:eastAsia="Times New Roman"/>
              </w:rPr>
              <w:t>заполненную анкету (форма Приложение № 4 к настоящим техническим требованиям);</w:t>
            </w:r>
          </w:p>
          <w:p>
            <w:pPr>
              <w:pStyle w:val="ListParagraph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426" w:leader="none"/>
              </w:tabs>
              <w:ind w:hanging="0" w:left="57"/>
              <w:jc w:val="both"/>
              <w:rPr/>
            </w:pPr>
            <w:r>
              <w:rPr>
                <w:rFonts w:eastAsia="Times New Roman"/>
              </w:rPr>
              <w:t>согласие на обработку персональных и иных охраняемых законном данных (форма Приложение № 5 к настоящим техническим требованиям);</w:t>
            </w:r>
          </w:p>
          <w:p>
            <w:pPr>
              <w:pStyle w:val="ListParagraph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450" w:leader="none"/>
              </w:tabs>
              <w:ind w:hanging="0" w:left="57"/>
              <w:jc w:val="both"/>
              <w:rPr/>
            </w:pPr>
            <w:r>
              <w:rPr>
                <w:rFonts w:eastAsia="Times New Roman"/>
              </w:rPr>
              <w:t>копии удостоверений по ЭБ;</w:t>
            </w:r>
          </w:p>
          <w:p>
            <w:pPr>
              <w:pStyle w:val="Normal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426" w:leader="none"/>
              </w:tabs>
              <w:ind w:hanging="0"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копии протоколов по ЭБ;</w:t>
            </w:r>
          </w:p>
          <w:p>
            <w:pPr>
              <w:pStyle w:val="Normal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426" w:leader="none"/>
              </w:tabs>
              <w:ind w:hanging="0"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документы о прохождении медосмотра и психиатрического освидетельствования, заверенными руководителем организации или уполномоченным лицом.</w:t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безопасности работ и охране труда</w:t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ind w:hanging="0" w:left="0"/>
              <w:rPr>
                <w:lang w:val="en-US"/>
              </w:rPr>
            </w:pPr>
            <w:r>
              <w:rPr>
                <w:lang w:val="en-US"/>
              </w:rPr>
              <w:t>1.6.1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безопасности выполняемых услуг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>Исполнитель при производстве работ должен соблюдать но не ограничиваться: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ind w:hanging="0" w:left="113"/>
              <w:jc w:val="both"/>
              <w:rPr/>
            </w:pPr>
            <w:r>
              <w:rPr/>
              <w:t>Постановление Правительства РФ от 24.12.2021 N 2464 "О порядке обучения по охране труда и проверки знания требований охраны труда"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384" w:leader="none"/>
              </w:tabs>
              <w:ind w:hanging="0" w:left="113"/>
              <w:jc w:val="both"/>
              <w:rPr/>
            </w:pPr>
            <w:r>
              <w:rPr/>
              <w:t xml:space="preserve">  </w:t>
            </w:r>
            <w:r>
              <w:rPr/>
              <w:t>Правил    по    охране    труда     при  эксплуатации  электроустановок, утверждённых приказом Министерство труда и социальной защиты РФ от 15.12.2020г. № 903н, зарегистрированных в Минюсте России 30.12.2020 N 61957;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434" w:leader="none"/>
              </w:tabs>
              <w:ind w:hanging="0" w:left="113"/>
              <w:jc w:val="both"/>
              <w:rPr/>
            </w:pPr>
            <w:r>
              <w:rPr/>
              <w:t xml:space="preserve"> </w:t>
            </w:r>
            <w:r>
              <w:rPr/>
              <w:t>Правил по охране труда при строительстве, реконструкции и ремонте, утверждённых приказом Минтруда России от 11.12.2020 N 883н, зарегистрированных в Минюсте России 24.12.2020 N 61787;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397" w:leader="none"/>
              </w:tabs>
              <w:ind w:hanging="0" w:left="113"/>
              <w:jc w:val="both"/>
              <w:rPr/>
            </w:pPr>
            <w:r>
              <w:rPr/>
              <w:t xml:space="preserve"> </w:t>
            </w:r>
            <w:r>
              <w:rPr/>
              <w:t>СНиП 12-03-2001«Безопасность труда в строительстве» Часть 1 Общие требования, утвержденных Постановлением Госстроя РФ от 23.07.2001 N 80, зарегистрированных в Минюсте РФ 09.08.2001 N 2862;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334" w:leader="none"/>
                <w:tab w:val="left" w:pos="525" w:leader="none"/>
              </w:tabs>
              <w:ind w:hanging="0" w:left="113"/>
              <w:jc w:val="both"/>
              <w:rPr/>
            </w:pPr>
            <w:r>
              <w:rPr/>
              <w:t xml:space="preserve"> </w:t>
            </w:r>
            <w:r>
              <w:rPr/>
              <w:t>СНиП 12-04-2002 «Безопасность  труда  в  строительстве» Часть 2.  Строительное Производство, утвержденных Постановлением Госстроя России от 17.09.2002 N 123, зарегистрированных в Минюсте России 18.10.2002 N 3880;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317" w:leader="none"/>
              </w:tabs>
              <w:ind w:hanging="0" w:left="113"/>
              <w:jc w:val="both"/>
              <w:rPr/>
            </w:pPr>
            <w:r>
              <w:rPr/>
              <w:t xml:space="preserve"> </w:t>
            </w:r>
            <w:r>
              <w:rPr/>
              <w:t>СП 12-136-2002 «Решения по охране труда и промышленной    безопасности в ПНР и ПОС», утвержденных  Постановлением Госстроя РФ от 17.09.2002 N 122;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322" w:leader="none"/>
              </w:tabs>
              <w:ind w:hanging="0" w:left="113"/>
              <w:jc w:val="both"/>
              <w:rPr/>
            </w:pPr>
            <w:r>
              <w:rPr/>
              <w:t xml:space="preserve"> </w:t>
            </w:r>
            <w:r>
              <w:rPr/>
              <w:t>Правил по охране труда при погрузочно-разгрузочных работах и размещении грузов», утверждённых приказом Минтруда России от 28.10.2020 г. № 753н, зарегистрированных в Минюсте России 15.12.2020 N 61471;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309" w:leader="none"/>
              </w:tabs>
              <w:ind w:hanging="0" w:left="113"/>
              <w:jc w:val="both"/>
              <w:rPr/>
            </w:pPr>
            <w:r>
              <w:rPr/>
              <w:t xml:space="preserve"> </w:t>
            </w:r>
            <w:r>
              <w:rPr/>
              <w:t>ГОСТ 12.3.009-76 «ССБТ. работы погрузочно-разгрузочные. Общие требования       безопасности», утвержден Постановлением Госстандарта СССР от 23.03.1976 N 670;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390" w:leader="none"/>
              </w:tabs>
              <w:ind w:hanging="0" w:left="113"/>
              <w:jc w:val="both"/>
              <w:rPr/>
            </w:pPr>
            <w:r>
              <w:rPr/>
              <w:t xml:space="preserve"> </w:t>
            </w:r>
            <w:r>
              <w:rPr/>
              <w:t>Постановление Правительства РФ от 10.09.2020 N 1391 "Об утверждении Правил охраны поверхностных водных объектов";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317" w:leader="none"/>
              </w:tabs>
              <w:ind w:hanging="0" w:left="113"/>
              <w:jc w:val="both"/>
              <w:rPr/>
            </w:pPr>
            <w:r>
              <w:rPr/>
              <w:t xml:space="preserve"> </w:t>
            </w:r>
            <w:r>
              <w:rPr/>
              <w:t>ФЗ № 7 от 10.01.2002 г «Об охране окружающей среды»;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345" w:leader="none"/>
              </w:tabs>
              <w:ind w:hanging="0" w:left="113"/>
              <w:jc w:val="both"/>
              <w:rPr/>
            </w:pPr>
            <w:r>
              <w:rPr/>
              <w:t xml:space="preserve"> </w:t>
            </w:r>
            <w:r>
              <w:rPr/>
              <w:t>Правил противопожарного режима в Российской Федерации, утверждённых постановлением Правительства РФ от 16.09.2020 N 1479;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317" w:leader="none"/>
              </w:tabs>
              <w:ind w:hanging="0" w:left="113"/>
              <w:jc w:val="both"/>
              <w:rPr/>
            </w:pPr>
            <w:r>
              <w:rPr/>
              <w:t xml:space="preserve"> </w:t>
            </w:r>
            <w:r>
              <w:rPr/>
              <w:t>45.13330.2017. Свод правил. Земляные сооружения, основания и фундаменты. Актуализированная редакция СНиП 3.02.01-87" (утв. и введен в действие Приказом Минстроя России от 27.02.2017 N 125/пр) (ред. От 20.11.2019);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317" w:leader="none"/>
              </w:tabs>
              <w:ind w:hanging="0" w:left="113"/>
              <w:jc w:val="both"/>
              <w:rPr/>
            </w:pPr>
            <w:r>
              <w:rPr/>
              <w:t xml:space="preserve"> </w:t>
            </w:r>
            <w:r>
              <w:rPr/>
              <w:t>Приказ Минстроя России от 27.07.2017 N 1033/пр "Об утверждении СП 68.13330.2017 "СНиП 3.01.04-87 Приемка в эксплуатацию законченных строительством объектов. Основные положения";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372" w:leader="none"/>
              </w:tabs>
              <w:ind w:hanging="0" w:left="113"/>
              <w:jc w:val="both"/>
              <w:rPr/>
            </w:pPr>
            <w:r>
              <w:rPr/>
              <w:t xml:space="preserve"> </w:t>
            </w:r>
            <w:r>
              <w:rPr/>
              <w:t>Правил по охране труда при работе с инструментом и приспособлениями, утверждённых Приказом Минтруда России от 27.11.2020 г. № 835н, зарегистрированных в Минюсте России 11.12.2020 N 61411;</w:t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результатам услуг</w:t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Общие требования к результатам услуг</w:t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6"/>
              </w:numPr>
              <w:ind w:hanging="360" w:left="36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Услуги выполняются в таком объеме, который позволяет начать эксплуатацию результатов услуг без проведения закупочных процедур Заказчиком, включающих дополнительные объёмы каких-либо материалов, оборудования и услуг. Услуги считаются выполненными после приемки козлового крана комиссией с участием Заказчика и Конечного Заказчика с оформлением отчётной документации со стороны Исполнителя.</w:t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техническим и функциональным характеристикам объекта, которые должны быть достигнуты в результате оказания услуг, включая гарантируемые показатели</w:t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7"/>
              </w:numPr>
              <w:tabs>
                <w:tab w:val="clear" w:pos="708"/>
                <w:tab w:val="left" w:pos="1032" w:leader="none"/>
              </w:tabs>
              <w:ind w:hanging="360" w:left="360"/>
              <w:jc w:val="both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результатам оказания услуг должен быть достигнут ввод объекта в эксплуатацию.</w:t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порядку приемки результатов услуг</w:t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8"/>
              </w:numPr>
              <w:tabs>
                <w:tab w:val="clear" w:pos="708"/>
                <w:tab w:val="left" w:pos="1007" w:leader="none"/>
              </w:tabs>
              <w:ind w:hanging="360" w:left="360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Перед передачей результатов услуг Исполнитель обязан передать Заказчику «Отчёт об оказанных услугах»</w:t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оформлению документации</w:t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47" w:hRule="atLeast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9"/>
              </w:numPr>
              <w:tabs>
                <w:tab w:val="clear" w:pos="708"/>
                <w:tab w:val="left" w:pos="1032" w:leader="none"/>
              </w:tabs>
              <w:ind w:hanging="360" w:left="360"/>
              <w:rPr/>
            </w:pPr>
            <w:r>
              <w:rPr/>
            </w:r>
          </w:p>
        </w:tc>
        <w:tc>
          <w:tcPr>
            <w:tcW w:w="21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Документы, передаваемые </w:t>
            </w:r>
            <w:r>
              <w:rPr>
                <w:sz w:val="24"/>
                <w:szCs w:val="24"/>
                <w:lang w:val="en-US"/>
              </w:rPr>
              <w:t>Заказчику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suppressAutoHyphens w:val="false"/>
              <w:spacing w:before="60" w:after="0"/>
              <w:ind w:hanging="0" w:left="61"/>
              <w:contextualSpacing/>
              <w:jc w:val="both"/>
              <w:rPr/>
            </w:pPr>
            <w:r>
              <w:rPr/>
              <w:t>Отчётные документы по услугам представить на бумажном носителе в 3 экземплярах, на электронном носителе в 1 экземпляре в форматах *.dwg, *.vsd, *. dос, *.хls;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Все документы и техническая документация, имеющие отношение к оказанию услуг, должны быть представлены на русском языке. Если сопроводительная или иная документация, представленная Исполнителем, написана на иностранном языке, к ней должен прилагаться перевод на русский язык, при этом подлинность подписи переводчика должны быть заверены в установленном законом порядке.</w:t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47" w:hRule="atLeast"/>
        </w:trPr>
        <w:tc>
          <w:tcPr>
            <w:tcW w:w="8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9"/>
              </w:numPr>
              <w:tabs>
                <w:tab w:val="clear" w:pos="708"/>
                <w:tab w:val="left" w:pos="1032" w:leader="none"/>
              </w:tabs>
              <w:ind w:hanging="360" w:left="360"/>
              <w:rPr/>
            </w:pPr>
            <w:r>
              <w:rPr/>
            </w:r>
          </w:p>
        </w:tc>
        <w:tc>
          <w:tcPr>
            <w:tcW w:w="21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7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>Исполнитель по результатам оказания услуг обязан</w:t>
            </w:r>
            <w:r>
              <w:rPr>
                <w:sz w:val="24"/>
                <w:szCs w:val="24"/>
              </w:rPr>
              <w:t xml:space="preserve"> одновременно с передачей актов приёмки оказанных услуг передать Заказчику «Отчёт об оказанных услугах», включая: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345" w:leader="none"/>
              </w:tabs>
              <w:ind w:hanging="0" w:left="113"/>
              <w:jc w:val="both"/>
              <w:rPr/>
            </w:pPr>
            <w:r>
              <w:rPr>
                <w:rFonts w:eastAsia="Times New Roman"/>
              </w:rPr>
              <w:t>протоколы испытаний;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345" w:leader="none"/>
              </w:tabs>
              <w:ind w:hanging="0" w:left="113"/>
              <w:jc w:val="both"/>
              <w:rPr/>
            </w:pPr>
            <w:r>
              <w:rPr>
                <w:rFonts w:eastAsia="Times New Roman"/>
              </w:rPr>
              <w:t>акты приёмки скрытых работ;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345" w:leader="none"/>
              </w:tabs>
              <w:ind w:hanging="0" w:left="113"/>
              <w:jc w:val="both"/>
              <w:rPr/>
            </w:pPr>
            <w:r>
              <w:rPr/>
              <w:t>комиссионные акты приемки из ремонта;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345" w:leader="none"/>
              </w:tabs>
              <w:ind w:hanging="0" w:left="113"/>
              <w:jc w:val="both"/>
              <w:rPr/>
            </w:pPr>
            <w:r>
              <w:rPr/>
              <w:t>справку о фактических трудозатратах при оказании услуг</w:t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 этапе исполнения договора)</w:t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ind w:hanging="0" w:left="0"/>
              <w:rPr>
                <w:lang w:val="en-US"/>
              </w:rPr>
            </w:pPr>
            <w:r>
              <w:rPr>
                <w:lang w:val="en-US"/>
              </w:rPr>
              <w:t>3.1</w:t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Услуги выполняются в таком объеме, который позволяет начать эксплуатацию результатов без проведения закупочных процедур Заказчиком, включающих дополнительные объёмы каких-либо материалов, оборудования и услуг, выявленных в процессе оказания услуг 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Услуги считаются выполненными после приемки крана комиссией с участием персонала Заказчика, оформлением полного комплекта исполнительной и отчетной документации со стороны Исполнителя.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shd w:fill="FFFFFF" w:val="clear"/>
              </w:rPr>
              <w:t>В течение 5 рабочих дней после завершения оказания услуг Исполнитель своими силами и за свой счет вывозит принадлежащее ему оборудование, материалы и инструменты и производит уборку территории в местах оказания услуг.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Услуги считаются выполненными после передачи пакета исполнительной документации и подписания акта сдачи-приемки оказанных услуг, подписанного обеими сторонами.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 оказании услуг Исполнитель обязан обеспечить применение персоналом сертифицированных средств индивидуальной защиты, соответствующих характеру оказываемых услуг, а также соблюдение правил внутреннего распорядка, действующих в филиале ПАО «РусГидро»-«Каскад Кубанских ГЭС» и Кубанского филиала АО «Гидроремонт-ВКК» в г. Невинномысск.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Допуск персонала Исполнителя для оказания услуг осуществляется в соответствии с Регламентом процесса допуска подрядных организаций на объекты ПАО РусГидро, утвержденным Приказом ПАО РусГидро от 28.04.2023 № 300. В соответствии с Методикой допуска персонала подрядных организаций к выполнению работ на объектах ПАО «РусГидро» (приложение 2 к приказу ПАО РусГидро от 28.04.2023 № 300) Исполнитель сопроводительным письмом на имя заказчика направляет список сотрудников, с предоставлением прав ответственных за безопасное выполнение работ на объектах с указанием группы по электробезопасности и разряда сотрудника, сообщает состав бригады для допуска персонала на объекты и места оказания услуг, с указанием руководителя работ, лица, выдающего наряд (при наличии), производителей работ и членов бригады. К письму сведения, указанные в сопроводительном письме, должны быть подтверждены копиями ОРД Исполнителя, протоколов проверки знаний, аттестации, копиями удостоверений о проверке знаний, свидетельств о прохождении обучения, документов прохождения медосмотра и психиатрического освидетельствования, заверенными руководителем или уполномоченным лицом Исполнителя.</w:t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ответственности и гарантиям исполнителя</w:t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ind w:hanging="720" w:left="720"/>
              <w:rPr/>
            </w:pPr>
            <w:r>
              <w:rPr/>
              <w:t>4.1</w:t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23"/>
              </w:numPr>
              <w:suppressAutoHyphens w:val="false"/>
              <w:ind w:hanging="283" w:left="310"/>
              <w:jc w:val="both"/>
              <w:rPr/>
            </w:pPr>
            <w:r>
              <w:rPr>
                <w:rFonts w:eastAsia="Times New Roman"/>
                <w:iCs/>
              </w:rPr>
              <w:t>В случае повреждения оборудования, сооружений, конструкций в ходе оказания услуг Исполнитель обязуется устранить возникшие повреждения за свой счет в согласованные с Исполнителем сроки, но не позднее 15 дней с момента подписания акта приемки в эксплуатацию по окончании услуг.</w:t>
            </w:r>
          </w:p>
          <w:p>
            <w:pPr>
              <w:pStyle w:val="ListParagraph"/>
              <w:widowControl w:val="false"/>
              <w:numPr>
                <w:ilvl w:val="0"/>
                <w:numId w:val="23"/>
              </w:numPr>
              <w:suppressAutoHyphens w:val="false"/>
              <w:ind w:hanging="283" w:left="310"/>
              <w:jc w:val="both"/>
              <w:rPr/>
            </w:pPr>
            <w:r>
              <w:rPr>
                <w:rFonts w:eastAsia="Times New Roman"/>
                <w:iCs/>
              </w:rPr>
              <w:t>Исполнитель обязан производить в течение гарантийного периода устранение всех неисправностей, возникших из-за дефектов изготовления, строительно-монтажных услуг, своими силами и за свой счет или компенсировать затраты по оказанию таких услуг.</w:t>
            </w:r>
          </w:p>
          <w:p>
            <w:pPr>
              <w:pStyle w:val="ListParagraph"/>
              <w:widowControl w:val="false"/>
              <w:numPr>
                <w:ilvl w:val="0"/>
                <w:numId w:val="23"/>
              </w:numPr>
              <w:suppressAutoHyphens w:val="false"/>
              <w:ind w:hanging="283" w:left="310"/>
              <w:jc w:val="both"/>
              <w:rPr/>
            </w:pPr>
            <w:r>
              <w:rPr>
                <w:rFonts w:eastAsia="Times New Roman"/>
                <w:iCs/>
              </w:rPr>
              <w:t>Гарантийный   период увеличивается   на   время   простоя оборудования, необходимое на устранение дефекта. Потери от простоя оборудования компенсирует Исполнитель.</w:t>
            </w:r>
          </w:p>
          <w:p>
            <w:pPr>
              <w:pStyle w:val="ListParagraph"/>
              <w:widowControl w:val="false"/>
              <w:numPr>
                <w:ilvl w:val="0"/>
                <w:numId w:val="23"/>
              </w:numPr>
              <w:suppressAutoHyphens w:val="false"/>
              <w:ind w:hanging="283" w:left="310"/>
              <w:jc w:val="both"/>
              <w:rPr/>
            </w:pPr>
            <w:r>
              <w:rPr>
                <w:rFonts w:eastAsia="Times New Roman"/>
                <w:iCs/>
              </w:rPr>
              <w:t>Для участия в составлении акта, фиксирующего дефекты, согласования порядка и сроков их устранения Исполнитель обязан направить своего представителя в течение 3 суток со дня получения письменного извещения Заказчика.</w:t>
            </w:r>
            <w:r>
              <w:rPr>
                <w:iCs/>
              </w:rPr>
              <w:t xml:space="preserve"> </w:t>
            </w:r>
          </w:p>
          <w:p>
            <w:pPr>
              <w:pStyle w:val="ListParagraph"/>
              <w:widowControl w:val="false"/>
              <w:numPr>
                <w:ilvl w:val="0"/>
                <w:numId w:val="23"/>
              </w:numPr>
              <w:suppressAutoHyphens w:val="false"/>
              <w:ind w:hanging="283" w:left="310"/>
              <w:jc w:val="both"/>
              <w:rPr/>
            </w:pPr>
            <w:r>
              <w:rPr>
                <w:iCs/>
              </w:rPr>
              <w:t>Гарантии распространяются на все услуги, детали, узлы и оборудование.</w:t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ind w:hanging="720" w:left="720"/>
              <w:rPr/>
            </w:pPr>
            <w:r>
              <w:rPr/>
              <w:t>4.2</w:t>
            </w:r>
          </w:p>
        </w:tc>
        <w:tc>
          <w:tcPr>
            <w:tcW w:w="21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Гарантийный срок</w:t>
            </w:r>
          </w:p>
        </w:tc>
        <w:tc>
          <w:tcPr>
            <w:tcW w:w="7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Гарантийный срок по результатам оказания услуг должен составлять не менее 36 месяцев с момента подписания Акта о приёмке оказанных услуг.</w:t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исполнителю (и субисполнителям) и его обязательствам, влияющим на исполнение договора</w:t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ind w:hanging="0" w:left="0"/>
              <w:rPr/>
            </w:pPr>
            <w:r>
              <w:rPr/>
              <w:t>5.1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</w:t>
            </w:r>
            <w:r>
              <w:rPr>
                <w:sz w:val="24"/>
                <w:szCs w:val="24"/>
                <w:lang w:val="en-US"/>
              </w:rPr>
              <w:t>Исполнительным</w:t>
            </w:r>
            <w:r>
              <w:rPr>
                <w:sz w:val="24"/>
                <w:szCs w:val="24"/>
              </w:rPr>
              <w:t xml:space="preserve"> организациям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случае привлечения к оказанию услуг Субисполнительных организаций Исполнитель обязан представить Заказчику на момент согласования договора документы, подтверждающие соответствие их квалификационного уровня, а также готовность и возможность оказания ими услуг.</w:t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sectPr>
          <w:headerReference w:type="default" r:id="rId4"/>
          <w:headerReference w:type="first" r:id="rId5"/>
          <w:footerReference w:type="default" r:id="rId6"/>
          <w:footerReference w:type="first" r:id="rId7"/>
          <w:type w:val="nextPage"/>
          <w:pgSz w:orient="landscape" w:w="16838" w:h="11906"/>
          <w:pgMar w:left="1134" w:right="851" w:gutter="0" w:header="680" w:top="851" w:footer="737" w:bottom="851"/>
          <w:pgNumType w:fmt="decimal"/>
          <w:formProt w:val="false"/>
          <w:textDirection w:val="lrTb"/>
          <w:docGrid w:type="default" w:linePitch="381" w:charSpace="0"/>
        </w:sectPr>
      </w:pPr>
    </w:p>
    <w:p>
      <w:pPr>
        <w:pStyle w:val="Normal"/>
        <w:keepNext w:val="true"/>
        <w:numPr>
          <w:ilvl w:val="0"/>
          <w:numId w:val="3"/>
        </w:numPr>
        <w:tabs>
          <w:tab w:val="clear" w:pos="708"/>
          <w:tab w:val="left" w:pos="567" w:leader="none"/>
        </w:tabs>
        <w:ind w:hanging="1560" w:left="1560"/>
        <w:outlineLvl w:val="0"/>
        <w:rPr>
          <w:sz w:val="24"/>
          <w:szCs w:val="24"/>
        </w:rPr>
      </w:pPr>
      <w:bookmarkStart w:id="46" w:name="_Toc124516424"/>
      <w:bookmarkStart w:id="47" w:name="_Toc53393312"/>
      <w:bookmarkStart w:id="48" w:name="_Ref40301253"/>
      <w:bookmarkEnd w:id="48"/>
      <w:r>
        <w:rPr>
          <w:rFonts w:eastAsia="Calibri"/>
          <w:b/>
          <w:sz w:val="24"/>
          <w:szCs w:val="24"/>
          <w:lang w:val="x-none" w:eastAsia="x-none"/>
        </w:rPr>
        <w:t>Требования к документации по ценообразованию</w:t>
      </w:r>
      <w:bookmarkEnd w:id="47"/>
      <w:r>
        <w:rPr>
          <w:rFonts w:eastAsia="Calibri"/>
          <w:b/>
          <w:sz w:val="24"/>
          <w:szCs w:val="24"/>
          <w:lang w:val="x-none" w:eastAsia="x-none"/>
        </w:rPr>
        <w:t xml:space="preserve"> на этапе закупки</w:t>
      </w:r>
      <w:bookmarkEnd w:id="46"/>
    </w:p>
    <w:p>
      <w:pPr>
        <w:pStyle w:val="Normal"/>
        <w:jc w:val="both"/>
        <w:rPr>
          <w:sz w:val="24"/>
          <w:szCs w:val="24"/>
        </w:rPr>
      </w:pPr>
      <w:bookmarkStart w:id="49" w:name="_Toc124516425"/>
      <w:r>
        <w:rPr>
          <w:sz w:val="24"/>
          <w:szCs w:val="24"/>
        </w:rPr>
        <w:t>В обоснование стоимости своей заявки Участник предоставляет Коммерческое предложение.</w:t>
      </w:r>
      <w:bookmarkEnd w:id="49"/>
    </w:p>
    <w:p>
      <w:pPr>
        <w:pStyle w:val="Normal"/>
        <w:jc w:val="both"/>
        <w:rPr>
          <w:sz w:val="24"/>
          <w:szCs w:val="24"/>
        </w:rPr>
      </w:pPr>
      <w:bookmarkStart w:id="50" w:name="_Toc124516426"/>
      <w:r>
        <w:rPr>
          <w:sz w:val="24"/>
          <w:szCs w:val="24"/>
        </w:rPr>
        <w:t>Дополнительные документы по ценообразованию (сметная документация) в состав заявки Участника не включаются.</w:t>
      </w:r>
      <w:bookmarkEnd w:id="50"/>
    </w:p>
    <w:p>
      <w:pPr>
        <w:pStyle w:val="Normal"/>
        <w:rPr>
          <w:rFonts w:eastAsia="Calibri"/>
          <w:b/>
          <w:iCs/>
          <w:sz w:val="24"/>
          <w:szCs w:val="24"/>
          <w:lang w:eastAsia="x-none"/>
        </w:rPr>
      </w:pPr>
      <w:r>
        <w:rPr>
          <w:rFonts w:eastAsia="Calibri"/>
          <w:b/>
          <w:iCs/>
          <w:sz w:val="24"/>
          <w:szCs w:val="24"/>
          <w:lang w:eastAsia="x-none"/>
        </w:rPr>
      </w:r>
    </w:p>
    <w:p>
      <w:pPr>
        <w:pStyle w:val="Normal"/>
        <w:rPr>
          <w:rFonts w:eastAsia="Calibri"/>
          <w:b/>
          <w:iCs/>
          <w:sz w:val="24"/>
          <w:szCs w:val="24"/>
          <w:lang w:eastAsia="x-none"/>
        </w:rPr>
      </w:pPr>
      <w:r>
        <w:rPr>
          <w:rFonts w:eastAsia="Calibri"/>
          <w:b/>
          <w:iCs/>
          <w:sz w:val="24"/>
          <w:szCs w:val="24"/>
          <w:lang w:eastAsia="x-none"/>
        </w:rPr>
      </w:r>
    </w:p>
    <w:p>
      <w:pPr>
        <w:pStyle w:val="Heading1"/>
        <w:numPr>
          <w:ilvl w:val="0"/>
          <w:numId w:val="3"/>
        </w:numPr>
        <w:ind w:hanging="567" w:left="567"/>
        <w:rPr>
          <w:sz w:val="24"/>
          <w:szCs w:val="24"/>
        </w:rPr>
      </w:pPr>
      <w:bookmarkStart w:id="51" w:name="_Toc124516427"/>
      <w:bookmarkStart w:id="52" w:name="_Toc198284119"/>
      <w:r>
        <w:rPr>
          <w:sz w:val="24"/>
          <w:szCs w:val="24"/>
        </w:rPr>
        <w:t>Требования к документации по ценообразованию на этапе заключения (исполнения) договора</w:t>
      </w:r>
      <w:bookmarkEnd w:id="51"/>
      <w:bookmarkEnd w:id="52"/>
    </w:p>
    <w:p>
      <w:pPr>
        <w:pStyle w:val="Normal"/>
        <w:jc w:val="both"/>
        <w:rPr>
          <w:sz w:val="24"/>
          <w:szCs w:val="24"/>
        </w:rPr>
      </w:pPr>
      <w:bookmarkStart w:id="53" w:name="_Toc124516429"/>
      <w:r>
        <w:rPr>
          <w:sz w:val="24"/>
          <w:szCs w:val="24"/>
        </w:rPr>
        <w:t xml:space="preserve">Сметную документацию составлять и оформлять в соответствии с требованиями к документации по ценообразованию (Приложение №1 к настоящим техническим требованиям) </w:t>
      </w:r>
      <w:bookmarkEnd w:id="53"/>
      <w:r>
        <w:rPr>
          <w:sz w:val="24"/>
          <w:szCs w:val="24"/>
        </w:rPr>
        <w:t>с применением конкурсного коэффициента, указанного в заявке Участника, с которым принято решение заключить договор. Коэффициент начисляется в каждой локальной смете к итогу.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1"/>
        <w:numPr>
          <w:ilvl w:val="0"/>
          <w:numId w:val="3"/>
        </w:numPr>
        <w:ind w:hanging="567" w:left="567"/>
        <w:rPr>
          <w:sz w:val="24"/>
          <w:szCs w:val="24"/>
        </w:rPr>
      </w:pPr>
      <w:bookmarkStart w:id="54" w:name="_Toc198284120"/>
      <w:r>
        <w:rPr>
          <w:sz w:val="24"/>
          <w:szCs w:val="24"/>
        </w:rPr>
        <w:t>Приложения</w:t>
      </w:r>
      <w:bookmarkEnd w:id="54"/>
    </w:p>
    <w:p>
      <w:pPr>
        <w:pStyle w:val="Normal"/>
        <w:widowControl w:val="false"/>
        <w:tabs>
          <w:tab w:val="clear" w:pos="708"/>
          <w:tab w:val="left" w:pos="426" w:leader="none"/>
        </w:tabs>
        <w:rPr>
          <w:sz w:val="24"/>
          <w:szCs w:val="24"/>
        </w:rPr>
      </w:pPr>
      <w:r>
        <w:rPr>
          <w:b/>
          <w:bCs/>
          <w:iCs/>
          <w:sz w:val="24"/>
          <w:szCs w:val="24"/>
        </w:rPr>
        <w:t>Приложение № 1:</w:t>
      </w:r>
      <w:r>
        <w:rPr>
          <w:bCs/>
          <w:iCs/>
          <w:sz w:val="24"/>
          <w:szCs w:val="24"/>
        </w:rPr>
        <w:t xml:space="preserve"> </w:t>
      </w:r>
      <w:bookmarkStart w:id="55" w:name="_Hlk87545766"/>
      <w:r>
        <w:rPr>
          <w:bCs/>
          <w:iCs/>
          <w:sz w:val="24"/>
          <w:szCs w:val="24"/>
        </w:rPr>
        <w:t>Требования к оформлению и составлению документации по ценообразованию</w:t>
      </w:r>
      <w:bookmarkEnd w:id="55"/>
      <w:r>
        <w:rPr>
          <w:bCs/>
          <w:iCs/>
          <w:sz w:val="24"/>
          <w:szCs w:val="24"/>
        </w:rPr>
        <w:t>;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rPr>
          <w:sz w:val="24"/>
          <w:szCs w:val="24"/>
        </w:rPr>
      </w:pPr>
      <w:r>
        <w:rPr>
          <w:b/>
          <w:bCs/>
          <w:iCs/>
          <w:sz w:val="24"/>
          <w:szCs w:val="24"/>
        </w:rPr>
        <w:t>Приложение № 2:</w:t>
      </w:r>
      <w:r>
        <w:rPr>
          <w:bCs/>
          <w:iCs/>
          <w:sz w:val="24"/>
          <w:szCs w:val="24"/>
        </w:rPr>
        <w:t xml:space="preserve"> Временное положение о допуске персонала строительно-монтажных организаций и командированного персонала к выполнению работы на объектах ПАО «РусГидро» (утв. приказом ОАО «РусГидро» №736 от 13.11.2008г.);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rPr>
          <w:sz w:val="24"/>
          <w:szCs w:val="24"/>
        </w:rPr>
      </w:pPr>
      <w:r>
        <w:rPr>
          <w:b/>
          <w:bCs/>
          <w:iCs/>
          <w:sz w:val="24"/>
          <w:szCs w:val="24"/>
        </w:rPr>
        <w:t>Приложение № 3:</w:t>
      </w:r>
      <w:r>
        <w:rPr>
          <w:iCs/>
          <w:sz w:val="24"/>
          <w:szCs w:val="24"/>
        </w:rPr>
        <w:t xml:space="preserve"> Ведомость объемов услуг;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rPr>
          <w:sz w:val="24"/>
          <w:szCs w:val="24"/>
        </w:rPr>
      </w:pPr>
      <w:r>
        <w:rPr>
          <w:b/>
          <w:bCs/>
          <w:iCs/>
          <w:sz w:val="24"/>
          <w:szCs w:val="24"/>
        </w:rPr>
        <w:t>Приложение № 4:</w:t>
      </w:r>
      <w:r>
        <w:rPr>
          <w:bCs/>
          <w:iCs/>
          <w:sz w:val="24"/>
          <w:szCs w:val="24"/>
        </w:rPr>
        <w:t xml:space="preserve"> Анкета;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rPr>
          <w:sz w:val="24"/>
          <w:szCs w:val="24"/>
        </w:rPr>
      </w:pPr>
      <w:r>
        <w:rPr>
          <w:b/>
          <w:bCs/>
          <w:iCs/>
          <w:sz w:val="24"/>
          <w:szCs w:val="24"/>
        </w:rPr>
        <w:t>Приложение № 5:</w:t>
      </w:r>
      <w:r>
        <w:rPr>
          <w:bCs/>
          <w:iCs/>
          <w:sz w:val="24"/>
          <w:szCs w:val="24"/>
        </w:rPr>
        <w:t xml:space="preserve"> Согласие на обработку персональных и иных охраняемых законом данных.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rPr>
          <w:sz w:val="24"/>
          <w:szCs w:val="24"/>
        </w:rPr>
      </w:pPr>
      <w:r>
        <w:rPr>
          <w:b/>
          <w:bCs/>
          <w:iCs/>
          <w:sz w:val="24"/>
          <w:szCs w:val="24"/>
        </w:rPr>
        <w:t xml:space="preserve">Приложение № 6: </w:t>
      </w:r>
      <w:r>
        <w:rPr>
          <w:b w:val="false"/>
          <w:bCs w:val="false"/>
          <w:iCs/>
          <w:sz w:val="24"/>
          <w:szCs w:val="24"/>
        </w:rPr>
        <w:t>Перечень передаваемого Давальческого материала.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rPr>
          <w:iCs/>
          <w:sz w:val="24"/>
          <w:szCs w:val="24"/>
        </w:rPr>
      </w:pPr>
      <w:r>
        <w:rPr>
          <w:iCs/>
          <w:sz w:val="24"/>
          <w:szCs w:val="24"/>
        </w:rPr>
      </w:r>
      <w:bookmarkStart w:id="56" w:name="_Ref40301253_Копия_1"/>
      <w:bookmarkStart w:id="57" w:name="_Ref40301253_Копия_1"/>
      <w:bookmarkEnd w:id="57"/>
    </w:p>
    <w:p>
      <w:pPr>
        <w:pStyle w:val="Normal"/>
        <w:widowControl w:val="false"/>
        <w:tabs>
          <w:tab w:val="clear" w:pos="708"/>
          <w:tab w:val="left" w:pos="426" w:leader="none"/>
        </w:tabs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jc w:val="both"/>
        <w:rPr>
          <w:bCs/>
          <w:i/>
          <w:i/>
          <w:iCs/>
          <w:sz w:val="24"/>
          <w:szCs w:val="24"/>
          <w:shd w:fill="FFFF00" w:val="clear"/>
        </w:rPr>
      </w:pPr>
      <w:r>
        <w:rPr>
          <w:bCs/>
          <w:i/>
          <w:iCs/>
          <w:sz w:val="24"/>
          <w:szCs w:val="24"/>
          <w:shd w:fill="FFFF00" w:val="clear"/>
        </w:rPr>
      </w:r>
    </w:p>
    <w:p>
      <w:pPr>
        <w:pStyle w:val="NoSpacing"/>
        <w:spacing w:lineRule="auto" w:line="240"/>
        <w:rPr>
          <w:shd w:fill="FFFF00" w:val="clear"/>
        </w:rPr>
      </w:pPr>
      <w:r>
        <w:rPr>
          <w:shd w:fill="FFFF00" w:val="clear"/>
        </w:rPr>
      </w:r>
    </w:p>
    <w:p>
      <w:pPr>
        <w:pStyle w:val="NoSpacing"/>
        <w:spacing w:lineRule="auto" w:line="240"/>
        <w:rPr>
          <w:shd w:fill="FFFF00" w:val="clear"/>
        </w:rPr>
      </w:pPr>
      <w:r>
        <w:rPr>
          <w:shd w:fill="FFFF00" w:val="clear"/>
        </w:rPr>
      </w:r>
    </w:p>
    <w:p>
      <w:pPr>
        <w:pStyle w:val="NoSpacing"/>
        <w:spacing w:lineRule="auto" w:line="240"/>
        <w:rPr>
          <w:shd w:fill="FFFF00" w:val="clear"/>
        </w:rPr>
      </w:pPr>
      <w:r>
        <w:rPr>
          <w:shd w:fill="FFFF00" w:val="clear"/>
        </w:rPr>
      </w:r>
    </w:p>
    <w:sectPr>
      <w:headerReference w:type="default" r:id="rId8"/>
      <w:headerReference w:type="first" r:id="rId9"/>
      <w:footerReference w:type="default" r:id="rId10"/>
      <w:footerReference w:type="first" r:id="rId11"/>
      <w:type w:val="nextPage"/>
      <w:pgSz w:w="11906" w:h="16838"/>
      <w:pgMar w:left="1134" w:right="851" w:gutter="0" w:header="680" w:top="1134" w:footer="737" w:bottom="992"/>
      <w:pgNumType w:fmt="decimal"/>
      <w:formProt w:val="false"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PT Sans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alibri Light">
    <w:charset w:val="01"/>
    <w:family w:val="roman"/>
    <w:pitch w:val="variable"/>
  </w:font>
  <w:font w:name="Liberation Mono">
    <w:altName w:val="Courier New"/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4</w:t>
    </w:r>
    <w:r>
      <w:rPr/>
      <w:fldChar w:fldCharType="end"/>
    </w:r>
  </w:p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14</w:t>
    </w:r>
    <w:r>
      <w:rPr/>
      <w:fldChar w:fldCharType="end"/>
    </w:r>
  </w:p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15</w:t>
    </w:r>
    <w:r>
      <w:rPr/>
      <w:fldChar w:fldCharType="end"/>
    </w:r>
  </w:p>
  <w:p>
    <w:pPr>
      <w:pStyle w:val="Footer"/>
      <w:rPr/>
    </w:pPr>
    <w:r>
      <w:rPr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1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022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/>
        <w:kern w:val="0"/>
        <w:effect w:val="none"/>
        <w:szCs w:val="24"/>
        <w:iCs w:val="false"/>
        <w:bCs w:val="false"/>
        <w:em w:val="none"/>
        <w:vanish w:val="false"/>
        <w:rFonts w:ascii="Times New Roman" w:hAnsi="Times New Roman" w:cs="Times New Roman"/>
        <w:color w:val="000000"/>
        <w:lang w:val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72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1134" w:hanging="0"/>
      </w:pPr>
      <w:rPr/>
    </w:lvl>
  </w:abstractNum>
  <w:abstractNum w:abstractNumId="5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/>
        <w:szCs w:val="24"/>
        <w:bCs/>
      </w:rPr>
    </w:lvl>
    <w:lvl w:ilvl="2">
      <w:start w:val="1"/>
      <w:numFmt w:val="decimal"/>
      <w:lvlText w:val="1.2.%3"/>
      <w:lvlJc w:val="left"/>
      <w:pPr>
        <w:tabs>
          <w:tab w:val="num" w:pos="0"/>
        </w:tabs>
        <w:ind w:left="1072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false"/>
        <w:i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9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bullet"/>
      <w:lvlText w:val=""/>
      <w:lvlJc w:val="left"/>
      <w:pPr>
        <w:tabs>
          <w:tab w:val="num" w:pos="4460"/>
        </w:tabs>
        <w:ind w:left="51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lvl w:ilvl="0">
      <w:start w:val="1"/>
      <w:numFmt w:val="decimal"/>
      <w:lvlText w:val="1.%1.1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4">
    <w:lvl w:ilvl="0">
      <w:start w:val="1"/>
      <w:numFmt w:val="decimal"/>
      <w:lvlText w:val="1.2.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5">
    <w:lvl w:ilvl="0">
      <w:start w:val="1"/>
      <w:numFmt w:val="decimal"/>
      <w:lvlText w:val="1.3.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6">
    <w:lvl w:ilvl="0">
      <w:start w:val="1"/>
      <w:numFmt w:val="decimal"/>
      <w:lvlText w:val="2.1.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7">
    <w:lvl w:ilvl="0">
      <w:start w:val="1"/>
      <w:numFmt w:val="decimal"/>
      <w:lvlText w:val="2.2.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8">
    <w:lvl w:ilvl="0">
      <w:start w:val="1"/>
      <w:numFmt w:val="decimal"/>
      <w:lvlText w:val="2.3.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9">
    <w:lvl w:ilvl="0">
      <w:start w:val="1"/>
      <w:numFmt w:val="decimal"/>
      <w:lvlText w:val="2.4.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0">
    <w:lvl w:ilvl="0">
      <w:start w:val="1"/>
      <w:numFmt w:val="bullet"/>
      <w:lvlText w:val=""/>
      <w:lvlJc w:val="left"/>
      <w:pPr>
        <w:tabs>
          <w:tab w:val="num" w:pos="0"/>
        </w:tabs>
        <w:ind w:left="103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5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7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9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1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3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5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7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97" w:hanging="360"/>
      </w:pPr>
      <w:rPr>
        <w:rFonts w:ascii="Wingdings" w:hAnsi="Wingdings" w:cs="Wingdings" w:hint="default"/>
      </w:rPr>
    </w:lvl>
  </w:abstractNum>
  <w:abstractNum w:abstractNumId="21"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◦"/>
      <w:lvlJc w:val="left"/>
      <w:pPr>
        <w:tabs>
          <w:tab w:val="num" w:pos="1140"/>
        </w:tabs>
        <w:ind w:left="1140" w:hanging="360"/>
      </w:pPr>
      <w:rPr>
        <w:rFonts w:ascii="OpenSymbol" w:hAnsi="OpenSymbol" w:cs="OpenSymbol" w:hint="default"/>
        <w:sz w:val="28"/>
        <w:szCs w:val="28"/>
      </w:rPr>
    </w:lvl>
    <w:lvl w:ilvl="2">
      <w:start w:val="1"/>
      <w:numFmt w:val="bullet"/>
      <w:lvlText w:val="▪"/>
      <w:lvlJc w:val="left"/>
      <w:pPr>
        <w:tabs>
          <w:tab w:val="num" w:pos="1500"/>
        </w:tabs>
        <w:ind w:left="1500" w:hanging="360"/>
      </w:pPr>
      <w:rPr>
        <w:rFonts w:ascii="OpenSymbol" w:hAnsi="OpenSymbol" w:cs="OpenSymbol" w:hint="default"/>
        <w:sz w:val="28"/>
        <w:szCs w:val="28"/>
      </w:rPr>
    </w:lvl>
    <w:lvl w:ilvl="3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cs="Symbol" w:hint="default"/>
        <w:sz w:val="28"/>
        <w:szCs w:val="28"/>
      </w:rPr>
    </w:lvl>
    <w:lvl w:ilvl="4">
      <w:start w:val="1"/>
      <w:numFmt w:val="bullet"/>
      <w:lvlText w:val="◦"/>
      <w:lvlJc w:val="left"/>
      <w:pPr>
        <w:tabs>
          <w:tab w:val="num" w:pos="2220"/>
        </w:tabs>
        <w:ind w:left="2220" w:hanging="360"/>
      </w:pPr>
      <w:rPr>
        <w:rFonts w:ascii="OpenSymbol" w:hAnsi="OpenSymbol" w:cs="OpenSymbol" w:hint="default"/>
        <w:sz w:val="28"/>
        <w:szCs w:val="28"/>
      </w:rPr>
    </w:lvl>
    <w:lvl w:ilvl="5">
      <w:start w:val="1"/>
      <w:numFmt w:val="bullet"/>
      <w:lvlText w:val="▪"/>
      <w:lvlJc w:val="left"/>
      <w:pPr>
        <w:tabs>
          <w:tab w:val="num" w:pos="2580"/>
        </w:tabs>
        <w:ind w:left="2580" w:hanging="360"/>
      </w:pPr>
      <w:rPr>
        <w:rFonts w:ascii="OpenSymbol" w:hAnsi="OpenSymbol" w:cs="OpenSymbol" w:hint="default"/>
        <w:sz w:val="28"/>
        <w:szCs w:val="28"/>
      </w:rPr>
    </w:lvl>
    <w:lvl w:ilvl="6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  <w:sz w:val="28"/>
        <w:szCs w:val="28"/>
      </w:rPr>
    </w:lvl>
    <w:lvl w:ilvl="7">
      <w:start w:val="1"/>
      <w:numFmt w:val="bullet"/>
      <w:lvlText w:val="◦"/>
      <w:lvlJc w:val="left"/>
      <w:pPr>
        <w:tabs>
          <w:tab w:val="num" w:pos="3300"/>
        </w:tabs>
        <w:ind w:left="3300" w:hanging="360"/>
      </w:pPr>
      <w:rPr>
        <w:rFonts w:ascii="OpenSymbol" w:hAnsi="OpenSymbol" w:cs="OpenSymbol" w:hint="default"/>
        <w:sz w:val="28"/>
        <w:szCs w:val="28"/>
      </w:rPr>
    </w:lvl>
    <w:lvl w:ilvl="8">
      <w:start w:val="1"/>
      <w:numFmt w:val="bullet"/>
      <w:lvlText w:val="▪"/>
      <w:lvlJc w:val="left"/>
      <w:pPr>
        <w:tabs>
          <w:tab w:val="num" w:pos="3660"/>
        </w:tabs>
        <w:ind w:left="3660" w:hanging="360"/>
      </w:pPr>
      <w:rPr>
        <w:rFonts w:ascii="OpenSymbol" w:hAnsi="OpenSymbol" w:cs="OpenSymbol" w:hint="default"/>
        <w:sz w:val="28"/>
        <w:szCs w:val="28"/>
      </w:rPr>
    </w:lvl>
  </w:abstractNum>
  <w:abstractNum w:abstractNumId="22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</w:numbering>
</file>

<file path=word/settings.xml><?xml version="1.0" encoding="utf-8"?>
<w:settings xmlns:w="http://schemas.openxmlformats.org/wordprocessingml/2006/main">
  <w:zoom w:percent="108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next w:val="Normal"/>
    <w:link w:val="1"/>
    <w:qFormat/>
    <w:pPr>
      <w:outlineLvl w:val="0"/>
    </w:pPr>
    <w:rPr>
      <w:sz w:val="28"/>
      <w:szCs w:val="28"/>
    </w:rPr>
  </w:style>
  <w:style w:type="paragraph" w:styleId="Heading2">
    <w:name w:val="Heading 2"/>
    <w:basedOn w:val="Heading4"/>
    <w:next w:val="Normal"/>
    <w:link w:val="2"/>
    <w:qFormat/>
    <w:pPr>
      <w:outlineLvl w:val="1"/>
    </w:pPr>
    <w:rPr/>
  </w:style>
  <w:style w:type="paragraph" w:styleId="Heading3">
    <w:name w:val="Heading 3"/>
    <w:basedOn w:val="Normal"/>
    <w:next w:val="Normal"/>
    <w:link w:val="3"/>
    <w:autoRedefine/>
    <w:qFormat/>
    <w:pPr>
      <w:keepNext w:val="true"/>
      <w:tabs>
        <w:tab w:val="clear" w:pos="708"/>
        <w:tab w:val="left" w:pos="0" w:leader="none"/>
        <w:tab w:val="left" w:pos="735" w:leader="none"/>
        <w:tab w:val="left" w:pos="960" w:leader="none"/>
      </w:tabs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Heading4">
    <w:name w:val="Heading 4"/>
    <w:basedOn w:val="Heading3"/>
    <w:next w:val="Normal"/>
    <w:link w:val="4"/>
    <w:qFormat/>
    <w:pPr>
      <w:outlineLvl w:val="3"/>
    </w:pPr>
    <w:rPr>
      <w:bCs/>
    </w:rPr>
  </w:style>
  <w:style w:type="paragraph" w:styleId="Heading5">
    <w:name w:val="Heading 5"/>
    <w:basedOn w:val="Normal"/>
    <w:next w:val="Normal"/>
    <w:link w:val="5"/>
    <w:qFormat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6"/>
    <w:qFormat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7"/>
    <w:qFormat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8"/>
    <w:qFormat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9"/>
    <w:qFormat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 w:customStyle="1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Pagenumber">
    <w:name w:val="page number"/>
    <w:basedOn w:val="DefaultParagraphFont"/>
    <w:qFormat/>
    <w:rPr/>
  </w:style>
  <w:style w:type="character" w:styleId="Hyperlink">
    <w:name w:val="Hyperlink"/>
    <w:uiPriority w:val="99"/>
    <w:rPr>
      <w:color w:val="0000FF"/>
      <w:u w:val="single"/>
    </w:rPr>
  </w:style>
  <w:style w:type="character" w:styleId="Annotationreference">
    <w:name w:val="annotation reference"/>
    <w:qFormat/>
    <w:rPr>
      <w:sz w:val="16"/>
      <w:szCs w:val="16"/>
    </w:rPr>
  </w:style>
  <w:style w:type="character" w:styleId="Strong">
    <w:name w:val="Strong"/>
    <w:qFormat/>
    <w:rPr>
      <w:b/>
      <w:bCs/>
    </w:rPr>
  </w:style>
  <w:style w:type="character" w:styleId="6" w:customStyle="1">
    <w:name w:val="Заголовок 6 Знак"/>
    <w:qFormat/>
    <w:rPr>
      <w:rFonts w:ascii="Cambria" w:hAnsi="Cambria"/>
      <w:i/>
      <w:iCs/>
      <w:color w:val="243F60"/>
      <w:lang w:val="x-none" w:eastAsia="x-none"/>
    </w:rPr>
  </w:style>
  <w:style w:type="character" w:styleId="7" w:customStyle="1">
    <w:name w:val="Заголовок 7 Знак"/>
    <w:qFormat/>
    <w:rPr>
      <w:rFonts w:ascii="Cambria" w:hAnsi="Cambria"/>
      <w:i/>
      <w:iCs/>
      <w:color w:val="404040"/>
      <w:lang w:val="x-none" w:eastAsia="x-none"/>
    </w:rPr>
  </w:style>
  <w:style w:type="character" w:styleId="8" w:customStyle="1">
    <w:name w:val="Заголовок 8 Знак"/>
    <w:qFormat/>
    <w:rPr>
      <w:rFonts w:ascii="Cambria" w:hAnsi="Cambria"/>
      <w:color w:val="4F81BD"/>
      <w:lang w:val="x-none" w:eastAsia="x-none"/>
    </w:rPr>
  </w:style>
  <w:style w:type="character" w:styleId="1" w:customStyle="1">
    <w:name w:val="Заголовок 1 Знак"/>
    <w:qFormat/>
    <w:rPr>
      <w:rFonts w:eastAsia="Calibri"/>
      <w:b/>
      <w:sz w:val="28"/>
      <w:szCs w:val="28"/>
      <w:lang w:val="x-none" w:eastAsia="x-none"/>
    </w:rPr>
  </w:style>
  <w:style w:type="character" w:styleId="2" w:customStyle="1">
    <w:name w:val="Заголовок 2 Знак"/>
    <w:qFormat/>
    <w:rPr>
      <w:rFonts w:eastAsia="Calibri"/>
      <w:b/>
      <w:bCs/>
      <w:sz w:val="24"/>
      <w:szCs w:val="24"/>
      <w:lang w:val="x-none" w:eastAsia="x-none"/>
    </w:rPr>
  </w:style>
  <w:style w:type="character" w:styleId="3" w:customStyle="1">
    <w:name w:val="Заголовок 3 Знак"/>
    <w:qFormat/>
    <w:rPr>
      <w:rFonts w:eastAsia="Calibri"/>
      <w:b/>
      <w:sz w:val="24"/>
      <w:szCs w:val="24"/>
      <w:lang w:val="x-none" w:eastAsia="x-none"/>
    </w:rPr>
  </w:style>
  <w:style w:type="character" w:styleId="4" w:customStyle="1">
    <w:name w:val="Заголовок 4 Знак"/>
    <w:qFormat/>
    <w:rPr>
      <w:rFonts w:eastAsia="Calibri"/>
      <w:b/>
      <w:bCs/>
      <w:sz w:val="24"/>
      <w:szCs w:val="24"/>
      <w:lang w:val="x-none" w:eastAsia="x-none"/>
    </w:rPr>
  </w:style>
  <w:style w:type="character" w:styleId="5" w:customStyle="1">
    <w:name w:val="Заголовок 5 Знак"/>
    <w:qFormat/>
    <w:rPr>
      <w:b/>
      <w:bCs/>
      <w:i/>
      <w:iCs/>
      <w:sz w:val="26"/>
      <w:szCs w:val="26"/>
    </w:rPr>
  </w:style>
  <w:style w:type="character" w:styleId="9" w:customStyle="1">
    <w:name w:val="Заголовок 9 Знак"/>
    <w:qFormat/>
    <w:rPr>
      <w:rFonts w:ascii="Arial" w:hAnsi="Arial" w:cs="Arial"/>
      <w:sz w:val="22"/>
      <w:szCs w:val="22"/>
    </w:rPr>
  </w:style>
  <w:style w:type="character" w:styleId="Style1" w:customStyle="1">
    <w:name w:val="Название Знак"/>
    <w:link w:val="15"/>
    <w:qFormat/>
    <w:rPr>
      <w:sz w:val="28"/>
    </w:rPr>
  </w:style>
  <w:style w:type="character" w:styleId="Style2" w:customStyle="1">
    <w:name w:val="Подзаголовок Знак"/>
    <w:qFormat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Emphasis">
    <w:name w:val="Emphasis"/>
    <w:qFormat/>
    <w:rPr>
      <w:i/>
      <w:iCs/>
    </w:rPr>
  </w:style>
  <w:style w:type="character" w:styleId="21" w:customStyle="1">
    <w:name w:val="Цитата 2 Знак"/>
    <w:link w:val="Quote"/>
    <w:qFormat/>
    <w:rPr>
      <w:rFonts w:ascii="Calibri" w:hAnsi="Calibri" w:eastAsia="Calibri"/>
      <w:i/>
      <w:iCs/>
      <w:color w:val="000000"/>
      <w:lang w:val="x-none" w:eastAsia="x-none"/>
    </w:rPr>
  </w:style>
  <w:style w:type="character" w:styleId="Style3" w:customStyle="1">
    <w:name w:val="Выделенная цитата Знак"/>
    <w:link w:val="IntenseQuote"/>
    <w:qFormat/>
    <w:rPr>
      <w:rFonts w:ascii="Calibri" w:hAnsi="Calibri" w:eastAsia="Calibri"/>
      <w:b/>
      <w:bCs/>
      <w:i/>
      <w:iCs/>
      <w:color w:val="4F81BD"/>
      <w:lang w:val="x-none" w:eastAsia="x-none"/>
    </w:rPr>
  </w:style>
  <w:style w:type="character" w:styleId="SubtleEmphasis">
    <w:name w:val="Subtle Emphasis"/>
    <w:qFormat/>
    <w:rPr>
      <w:i/>
      <w:iCs/>
      <w:color w:val="808080"/>
    </w:rPr>
  </w:style>
  <w:style w:type="character" w:styleId="IntenseEmphasis">
    <w:name w:val="Intense Emphasis"/>
    <w:qFormat/>
    <w:rPr>
      <w:b/>
      <w:bCs/>
      <w:i/>
      <w:iCs/>
      <w:color w:val="4F81BD"/>
    </w:rPr>
  </w:style>
  <w:style w:type="character" w:styleId="SubtleReference">
    <w:name w:val="Subtle Reference"/>
    <w:qFormat/>
    <w:rPr>
      <w:smallCaps/>
      <w:color w:val="C0504D"/>
      <w:u w:val="single"/>
    </w:rPr>
  </w:style>
  <w:style w:type="character" w:styleId="IntenseReference">
    <w:name w:val="Intense Reference"/>
    <w:qFormat/>
    <w:rPr>
      <w:b/>
      <w:bCs/>
      <w:smallCaps/>
      <w:color w:val="C0504D"/>
      <w:spacing w:val="5"/>
      <w:u w:val="single"/>
    </w:rPr>
  </w:style>
  <w:style w:type="character" w:styleId="BookTitle">
    <w:name w:val="Book Title"/>
    <w:qFormat/>
    <w:rPr>
      <w:b/>
      <w:bCs/>
      <w:smallCaps/>
      <w:spacing w:val="5"/>
    </w:rPr>
  </w:style>
  <w:style w:type="character" w:styleId="Style4" w:customStyle="1">
    <w:name w:val="Электронная подпись Знак"/>
    <w:link w:val="E-mailSignature"/>
    <w:qFormat/>
    <w:rPr>
      <w:rFonts w:eastAsia="Calibri"/>
      <w:sz w:val="24"/>
      <w:szCs w:val="24"/>
    </w:rPr>
  </w:style>
  <w:style w:type="character" w:styleId="11" w:customStyle="1">
    <w:name w:val="Подпункт Знак1"/>
    <w:link w:val="Style24"/>
    <w:qFormat/>
    <w:rPr>
      <w:sz w:val="28"/>
    </w:rPr>
  </w:style>
  <w:style w:type="character" w:styleId="Style5" w:customStyle="1">
    <w:name w:val="Текст сноски Знак"/>
    <w:qFormat/>
    <w:rPr/>
  </w:style>
  <w:style w:type="character" w:styleId="Style6" w:customStyle="1">
    <w:name w:val="Основной текст Знак"/>
    <w:qFormat/>
    <w:rPr>
      <w:sz w:val="28"/>
      <w:szCs w:val="28"/>
    </w:rPr>
  </w:style>
  <w:style w:type="character" w:styleId="Blk" w:customStyle="1">
    <w:name w:val="blk"/>
    <w:qFormat/>
    <w:rPr/>
  </w:style>
  <w:style w:type="character" w:styleId="Style7" w:customStyle="1">
    <w:name w:val="Абзац списка Знак"/>
    <w:link w:val="ListParagraph"/>
    <w:qFormat/>
    <w:rPr>
      <w:rFonts w:eastAsia="Calibri"/>
      <w:sz w:val="24"/>
      <w:szCs w:val="24"/>
    </w:rPr>
  </w:style>
  <w:style w:type="character" w:styleId="Style8" w:customStyle="1">
    <w:name w:val="комментарий"/>
    <w:qFormat/>
    <w:rPr>
      <w:b/>
      <w:i/>
      <w:shd w:fill="FFFF99" w:val="clear"/>
    </w:rPr>
  </w:style>
  <w:style w:type="character" w:styleId="Style9" w:customStyle="1">
    <w:name w:val="Подподпункт Знак"/>
    <w:link w:val="Style32"/>
    <w:qFormat/>
    <w:rPr>
      <w:sz w:val="26"/>
      <w:szCs w:val="26"/>
    </w:rPr>
  </w:style>
  <w:style w:type="character" w:styleId="31" w:customStyle="1">
    <w:name w:val="УРОВЕНЬ_Абзац_тип3 Знак"/>
    <w:link w:val="36"/>
    <w:qFormat/>
    <w:rPr>
      <w:rFonts w:eastAsia="Calibri"/>
      <w:sz w:val="26"/>
      <w:szCs w:val="28"/>
      <w:lang w:eastAsia="en-US"/>
    </w:rPr>
  </w:style>
  <w:style w:type="character" w:styleId="Style10" w:customStyle="1">
    <w:name w:val="Верхний колонтитул Знак"/>
    <w:qFormat/>
    <w:rPr>
      <w:sz w:val="24"/>
      <w:szCs w:val="24"/>
    </w:rPr>
  </w:style>
  <w:style w:type="character" w:styleId="Style11" w:customStyle="1">
    <w:name w:val="Текст примечания Знак"/>
    <w:link w:val="Annotationtext"/>
    <w:qFormat/>
    <w:rPr/>
  </w:style>
  <w:style w:type="character" w:styleId="Style12" w:customStyle="1">
    <w:name w:val="Текст концевой сноски Знак"/>
    <w:basedOn w:val="DefaultParagraphFont"/>
    <w:qFormat/>
    <w:rPr/>
  </w:style>
  <w:style w:type="character" w:styleId="Style13" w:customStyle="1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22" w:customStyle="1">
    <w:name w:val="Пункт2 Знак"/>
    <w:link w:val="24"/>
    <w:qFormat/>
    <w:rPr>
      <w:b/>
      <w:sz w:val="28"/>
    </w:rPr>
  </w:style>
  <w:style w:type="character" w:styleId="12" w:customStyle="1">
    <w:name w:val="УРОВЕНЬ_1. Знак"/>
    <w:link w:val="19"/>
    <w:qFormat/>
    <w:rPr>
      <w:rFonts w:eastAsia="Calibri"/>
      <w:caps/>
      <w:sz w:val="28"/>
      <w:szCs w:val="28"/>
      <w:lang w:eastAsia="en-US"/>
    </w:rPr>
  </w:style>
  <w:style w:type="character" w:styleId="13" w:customStyle="1">
    <w:name w:val="Неразрешенное упоминание1"/>
    <w:basedOn w:val="DefaultParagraphFont"/>
    <w:qFormat/>
    <w:rPr>
      <w:color w:val="605E5C"/>
      <w:shd w:fill="E1DFDD" w:val="clear"/>
    </w:rPr>
  </w:style>
  <w:style w:type="character" w:styleId="32" w:customStyle="1">
    <w:name w:val="Основной текст с отступом 3 Знак"/>
    <w:link w:val="BodyTextIndent3"/>
    <w:qFormat/>
    <w:rPr>
      <w:sz w:val="16"/>
      <w:szCs w:val="16"/>
    </w:rPr>
  </w:style>
  <w:style w:type="character" w:styleId="Style14" w:customStyle="1">
    <w:name w:val="Нижний колонтитул Знак"/>
    <w:basedOn w:val="DefaultParagraphFont"/>
    <w:qFormat/>
    <w:rPr>
      <w:sz w:val="28"/>
      <w:szCs w:val="28"/>
    </w:rPr>
  </w:style>
  <w:style w:type="character" w:styleId="Style15" w:customStyle="1">
    <w:name w:val="Ссылка указателя"/>
    <w:qFormat/>
    <w:rPr/>
  </w:style>
  <w:style w:type="character" w:styleId="Style16" w:customStyle="1">
    <w:name w:val="Маркеры"/>
    <w:qFormat/>
    <w:rPr>
      <w:rFonts w:ascii="Times New Roman" w:hAnsi="Times New Roman" w:eastAsia="OpenSymbol" w:cs="OpenSymbol"/>
      <w:sz w:val="28"/>
      <w:szCs w:val="28"/>
    </w:rPr>
  </w:style>
  <w:style w:type="character" w:styleId="FontStyle17" w:customStyle="1">
    <w:name w:val="Font Style17"/>
    <w:qFormat/>
    <w:rPr>
      <w:rFonts w:ascii="Times New Roman" w:hAnsi="Times New Roman" w:cs="Times New Roman"/>
      <w:sz w:val="26"/>
      <w:szCs w:val="26"/>
    </w:rPr>
  </w:style>
  <w:style w:type="character" w:styleId="Style17" w:customStyle="1">
    <w:name w:val="Символ нумерации"/>
    <w:qFormat/>
    <w:rPr/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link w:val="Style6"/>
    <w:pPr>
      <w:spacing w:before="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heading11" w:customStyle="1">
    <w:name w:val="index heading11"/>
    <w:basedOn w:val="Title"/>
    <w:qFormat/>
    <w:pPr/>
    <w:rPr/>
  </w:style>
  <w:style w:type="paragraph" w:styleId="Caption111" w:customStyle="1">
    <w:name w:val="caption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" w:customStyle="1">
    <w:name w:val="index heading111"/>
    <w:basedOn w:val="Title"/>
    <w:qFormat/>
    <w:pPr/>
    <w:rPr/>
  </w:style>
  <w:style w:type="paragraph" w:styleId="Caption1111" w:customStyle="1">
    <w:name w:val="caption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" w:customStyle="1">
    <w:name w:val="index heading1111"/>
    <w:basedOn w:val="Title"/>
    <w:qFormat/>
    <w:pPr/>
    <w:rPr/>
  </w:style>
  <w:style w:type="paragraph" w:styleId="Caption11111" w:customStyle="1">
    <w:name w:val="caption1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1" w:customStyle="1">
    <w:name w:val="index heading11111"/>
    <w:basedOn w:val="Title"/>
    <w:qFormat/>
    <w:pPr/>
    <w:rPr/>
  </w:style>
  <w:style w:type="paragraph" w:styleId="Caption111111" w:customStyle="1">
    <w:name w:val="caption11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11" w:customStyle="1">
    <w:name w:val="index heading111111"/>
    <w:basedOn w:val="Title"/>
    <w:qFormat/>
    <w:pPr/>
    <w:rPr/>
  </w:style>
  <w:style w:type="paragraph" w:styleId="Caption1111111" w:customStyle="1">
    <w:name w:val="caption111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111" w:customStyle="1">
    <w:name w:val="index heading1111111"/>
    <w:basedOn w:val="Title"/>
    <w:qFormat/>
    <w:pPr/>
    <w:rPr/>
  </w:style>
  <w:style w:type="paragraph" w:styleId="Caption11111111" w:customStyle="1">
    <w:name w:val="caption1111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1111" w:customStyle="1">
    <w:name w:val="index heading11111111"/>
    <w:basedOn w:val="Title"/>
    <w:qFormat/>
    <w:pPr/>
    <w:rPr/>
  </w:style>
  <w:style w:type="paragraph" w:styleId="Style20" w:customStyle="1">
    <w:name w:val="Название раздела инструкции"/>
    <w:basedOn w:val="Normal"/>
    <w:autoRedefine/>
    <w:qFormat/>
    <w:pPr>
      <w:jc w:val="center"/>
    </w:pPr>
    <w:rPr>
      <w:b/>
    </w:rPr>
  </w:style>
  <w:style w:type="paragraph" w:styleId="Style21" w:customStyle="1">
    <w:name w:val="Раздел положения"/>
    <w:basedOn w:val="Normal"/>
    <w:autoRedefine/>
    <w:qFormat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22" w:customStyle="1">
    <w:name w:val="Подраздел раздела положения"/>
    <w:basedOn w:val="Normal"/>
    <w:autoRedefine/>
    <w:qFormat/>
    <w:pPr>
      <w:numPr>
        <w:ilvl w:val="1"/>
        <w:numId w:val="1"/>
      </w:numPr>
      <w:spacing w:before="80" w:after="80"/>
      <w:jc w:val="both"/>
    </w:pPr>
    <w:rPr/>
  </w:style>
  <w:style w:type="paragraph" w:styleId="FootnoteText">
    <w:name w:val="Footnote Text"/>
    <w:basedOn w:val="Normal"/>
    <w:link w:val="Style5"/>
    <w:pPr/>
    <w:rPr>
      <w:sz w:val="20"/>
      <w:szCs w:val="20"/>
    </w:rPr>
  </w:style>
  <w:style w:type="paragraph" w:styleId="14" w:customStyle="1">
    <w:name w:val="Шапка 1"/>
    <w:basedOn w:val="Normal"/>
    <w:qFormat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3" w:customStyle="1">
    <w:name w:val="Шапка 2"/>
    <w:basedOn w:val="Normal"/>
    <w:qFormat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3" w:customStyle="1">
    <w:name w:val="Шапка 3"/>
    <w:basedOn w:val="Normal"/>
    <w:qFormat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5" w:customStyle="1">
    <w:name w:val="Название1"/>
    <w:basedOn w:val="Normal"/>
    <w:link w:val="Style1"/>
    <w:qFormat/>
    <w:pPr>
      <w:jc w:val="center"/>
    </w:pPr>
    <w:rPr>
      <w:szCs w:val="20"/>
      <w:lang w:val="x-none" w:eastAsia="x-none"/>
    </w:rPr>
  </w:style>
  <w:style w:type="paragraph" w:styleId="Style23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10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pPr>
      <w:ind w:hanging="0" w:left="360"/>
    </w:pPr>
    <w:rPr>
      <w:sz w:val="24"/>
      <w:szCs w:val="24"/>
    </w:rPr>
  </w:style>
  <w:style w:type="paragraph" w:styleId="Footer">
    <w:name w:val="Footer"/>
    <w:basedOn w:val="Normal"/>
    <w:link w:val="Style14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pPr>
      <w:spacing w:lineRule="auto" w:line="480" w:before="0" w:after="120"/>
      <w:ind w:hanging="0" w:left="283"/>
    </w:pPr>
    <w:rPr/>
  </w:style>
  <w:style w:type="paragraph" w:styleId="BodyText3">
    <w:name w:val="Body Text 3"/>
    <w:basedOn w:val="Normal"/>
    <w:qFormat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link w:val="32"/>
    <w:qFormat/>
    <w:pPr>
      <w:spacing w:before="0" w:after="120"/>
      <w:ind w:hanging="0" w:left="283"/>
    </w:pPr>
    <w:rPr>
      <w:sz w:val="16"/>
      <w:szCs w:val="16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BlockText">
    <w:name w:val="Block Text"/>
    <w:basedOn w:val="Normal"/>
    <w:qFormat/>
    <w:pPr>
      <w:ind w:hanging="0" w:left="-567" w:right="-766"/>
      <w:jc w:val="center"/>
    </w:pPr>
    <w:rPr>
      <w:b/>
      <w:bCs/>
      <w:sz w:val="24"/>
      <w:szCs w:val="20"/>
    </w:rPr>
  </w:style>
  <w:style w:type="paragraph" w:styleId="Style24" w:customStyle="1">
    <w:name w:val="Подпункт"/>
    <w:basedOn w:val="Normal"/>
    <w:link w:val="11"/>
    <w:qFormat/>
    <w:pPr>
      <w:tabs>
        <w:tab w:val="clear" w:pos="708"/>
        <w:tab w:val="left" w:pos="1134" w:leader="none"/>
      </w:tabs>
      <w:snapToGrid w:val="false"/>
      <w:spacing w:lineRule="auto" w:line="360"/>
      <w:ind w:hanging="1134" w:left="1134"/>
      <w:jc w:val="both"/>
    </w:pPr>
    <w:rPr>
      <w:szCs w:val="20"/>
      <w:lang w:val="x-none" w:eastAsia="x-none"/>
    </w:rPr>
  </w:style>
  <w:style w:type="paragraph" w:styleId="24" w:customStyle="1">
    <w:name w:val="Пункт2"/>
    <w:basedOn w:val="Normal"/>
    <w:link w:val="22"/>
    <w:qFormat/>
    <w:pPr>
      <w:keepNext w:val="true"/>
      <w:tabs>
        <w:tab w:val="clear" w:pos="708"/>
        <w:tab w:val="left" w:pos="1134" w:leader="none"/>
      </w:tabs>
      <w:snapToGrid w:val="false"/>
      <w:spacing w:before="240" w:after="120"/>
      <w:ind w:hanging="1134" w:left="1134"/>
      <w:outlineLvl w:val="2"/>
    </w:pPr>
    <w:rPr>
      <w:b/>
      <w:szCs w:val="20"/>
    </w:rPr>
  </w:style>
  <w:style w:type="paragraph" w:styleId="TOC1">
    <w:name w:val="TOC 1"/>
    <w:basedOn w:val="Normal"/>
    <w:next w:val="Normal"/>
    <w:autoRedefine/>
    <w:uiPriority w:val="39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pPr>
      <w:tabs>
        <w:tab w:val="clear" w:pos="708"/>
        <w:tab w:val="left" w:pos="567" w:leader="none"/>
        <w:tab w:val="right" w:pos="9911" w:leader="dot"/>
      </w:tabs>
    </w:pPr>
    <w:rPr>
      <w:rFonts w:cs="Calibri"/>
      <w:sz w:val="20"/>
      <w:szCs w:val="20"/>
    </w:rPr>
  </w:style>
  <w:style w:type="paragraph" w:styleId="Style25" w:customStyle="1">
    <w:name w:val="Раздел регламента"/>
    <w:basedOn w:val="Normal"/>
    <w:qFormat/>
    <w:pPr/>
    <w:rPr/>
  </w:style>
  <w:style w:type="paragraph" w:styleId="Style26" w:customStyle="1">
    <w:name w:val="Приложение к регламенту"/>
    <w:basedOn w:val="Normal"/>
    <w:qFormat/>
    <w:pPr>
      <w:jc w:val="right"/>
    </w:pPr>
    <w:rPr/>
  </w:style>
  <w:style w:type="paragraph" w:styleId="TOC2">
    <w:name w:val="TOC 2"/>
    <w:basedOn w:val="Normal"/>
    <w:next w:val="Normal"/>
    <w:autoRedefine/>
    <w:pPr>
      <w:spacing w:before="240" w:after="0"/>
    </w:pPr>
    <w:rPr>
      <w:rFonts w:cs="Calibri"/>
      <w:b/>
      <w:bCs/>
      <w:sz w:val="20"/>
      <w:szCs w:val="20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1"/>
    <w:qFormat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qFormat/>
    <w:pPr/>
    <w:rPr>
      <w:b/>
      <w:bCs/>
    </w:rPr>
  </w:style>
  <w:style w:type="paragraph" w:styleId="16" w:customStyle="1">
    <w:name w:val="Обычный (веб)1"/>
    <w:basedOn w:val="Normal"/>
    <w:qFormat/>
    <w:pPr>
      <w:spacing w:before="280" w:after="280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next w:val="Normal"/>
    <w:autoRedefine/>
    <w:pPr>
      <w:ind w:hanging="0" w:left="1960"/>
    </w:pPr>
    <w:rPr>
      <w:rFonts w:ascii="Calibri" w:hAnsi="Calibri" w:cs="Calibri"/>
      <w:sz w:val="20"/>
      <w:szCs w:val="20"/>
    </w:rPr>
  </w:style>
  <w:style w:type="paragraph" w:styleId="TOC5">
    <w:name w:val="TOC 5"/>
    <w:basedOn w:val="Normal"/>
    <w:next w:val="Normal"/>
    <w:autoRedefine/>
    <w:pPr>
      <w:ind w:hanging="0" w:left="840"/>
    </w:pPr>
    <w:rPr>
      <w:rFonts w:ascii="Calibri" w:hAnsi="Calibri" w:cs="Calibr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pPr>
      <w:tabs>
        <w:tab w:val="clear" w:pos="708"/>
        <w:tab w:val="left" w:pos="567" w:leader="none"/>
        <w:tab w:val="right" w:pos="9911" w:leader="dot"/>
      </w:tabs>
    </w:pPr>
    <w:rPr>
      <w:rFonts w:cs="Calibri"/>
      <w:sz w:val="20"/>
      <w:szCs w:val="20"/>
    </w:rPr>
  </w:style>
  <w:style w:type="paragraph" w:styleId="25" w:customStyle="1">
    <w:name w:val="Раздел положения 2"/>
    <w:basedOn w:val="Normal"/>
    <w:qFormat/>
    <w:pPr>
      <w:pageBreakBefore/>
      <w:jc w:val="both"/>
      <w:outlineLvl w:val="0"/>
    </w:pPr>
    <w:rPr>
      <w:b/>
    </w:rPr>
  </w:style>
  <w:style w:type="paragraph" w:styleId="Style27" w:customStyle="1">
    <w:name w:val="Знак Знак Знак Знак Знак Знак Знак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qFormat/>
    <w:pPr>
      <w:spacing w:lineRule="auto" w:line="360"/>
    </w:pPr>
    <w:rPr>
      <w:rFonts w:eastAsia="Calibri"/>
      <w:sz w:val="24"/>
      <w:szCs w:val="24"/>
    </w:rPr>
  </w:style>
  <w:style w:type="paragraph" w:styleId="Caption111111111" w:customStyle="1">
    <w:name w:val="caption111111111"/>
    <w:basedOn w:val="Normal"/>
    <w:next w:val="Normal"/>
    <w:qFormat/>
    <w:pPr/>
    <w:rPr>
      <w:rFonts w:eastAsia="Calibri"/>
      <w:b/>
      <w:bCs/>
      <w:color w:val="4F81BD"/>
      <w:sz w:val="18"/>
      <w:szCs w:val="18"/>
    </w:rPr>
  </w:style>
  <w:style w:type="paragraph" w:styleId="Subtitle">
    <w:name w:val="Subtitle"/>
    <w:basedOn w:val="Normal"/>
    <w:next w:val="Normal"/>
    <w:link w:val="Style2"/>
    <w:qFormat/>
    <w:pPr>
      <w:ind w:firstLine="709" w:left="1066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ListParagraph">
    <w:name w:val="List Paragraph"/>
    <w:basedOn w:val="Normal"/>
    <w:link w:val="Style7"/>
    <w:qFormat/>
    <w:pPr>
      <w:spacing w:before="0" w:after="0"/>
      <w:ind w:hanging="0" w:left="72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1"/>
    <w:qFormat/>
    <w:pPr/>
    <w:rPr>
      <w:rFonts w:ascii="Calibri" w:hAnsi="Calibri" w:eastAsia="Calibri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Style3"/>
    <w:qFormat/>
    <w:pPr>
      <w:pBdr>
        <w:bottom w:val="single" w:sz="4" w:space="4" w:color="4F81BD"/>
      </w:pBdr>
      <w:spacing w:before="200" w:after="280"/>
      <w:ind w:hanging="0" w:left="936" w:right="936"/>
    </w:pPr>
    <w:rPr>
      <w:rFonts w:ascii="Calibri" w:hAnsi="Calibri" w:eastAsia="Calibri"/>
      <w:b/>
      <w:bCs/>
      <w:i/>
      <w:iCs/>
      <w:color w:val="4F81BD"/>
      <w:sz w:val="20"/>
      <w:szCs w:val="20"/>
      <w:lang w:val="x-none" w:eastAsia="x-none"/>
    </w:rPr>
  </w:style>
  <w:style w:type="paragraph" w:styleId="IndexHeading">
    <w:name w:val="Index Heading"/>
    <w:basedOn w:val="Style18"/>
    <w:pPr/>
    <w:rPr/>
  </w:style>
  <w:style w:type="paragraph" w:styleId="TOCHeading">
    <w:name w:val="TOC Heading"/>
    <w:basedOn w:val="Heading1"/>
    <w:next w:val="Normal"/>
    <w:qFormat/>
    <w:pPr>
      <w:keepLines/>
      <w:spacing w:before="480" w:after="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link w:val="Style4"/>
    <w:qFormat/>
    <w:pPr/>
    <w:rPr>
      <w:rFonts w:eastAsia="Calibri"/>
      <w:sz w:val="24"/>
      <w:szCs w:val="24"/>
      <w:lang w:val="x-none" w:eastAsia="x-none"/>
    </w:rPr>
  </w:style>
  <w:style w:type="paragraph" w:styleId="Style28" w:customStyle="1">
    <w:name w:val="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4" w:customStyle="1">
    <w:name w:val="Нумерованный список ур3"/>
    <w:basedOn w:val="Normal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ListBullet4">
    <w:name w:val="List Bullet 4"/>
    <w:basedOn w:val="Normal"/>
    <w:qFormat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6" w:customStyle="1">
    <w:name w:val="Нумерованный список ур2"/>
    <w:basedOn w:val="Normal"/>
    <w:qFormat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35" w:customStyle="1">
    <w:name w:val="Знак Знак3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9" w:customStyle="1">
    <w:name w:val="Пункт"/>
    <w:basedOn w:val="Normal"/>
    <w:qFormat/>
    <w:pPr>
      <w:widowControl w:val="false"/>
      <w:tabs>
        <w:tab w:val="clear" w:pos="708"/>
        <w:tab w:val="left" w:pos="1134" w:leader="none"/>
      </w:tabs>
      <w:spacing w:lineRule="auto" w:line="360" w:before="120" w:after="0"/>
      <w:ind w:hanging="1134" w:left="1134" w:right="800"/>
      <w:jc w:val="both"/>
    </w:pPr>
    <w:rPr>
      <w:rFonts w:ascii="Arial" w:hAnsi="Arial"/>
      <w:b/>
      <w:i/>
      <w:szCs w:val="20"/>
    </w:rPr>
  </w:style>
  <w:style w:type="paragraph" w:styleId="17" w:customStyle="1">
    <w:name w:val="Абзац списка1"/>
    <w:basedOn w:val="Normal"/>
    <w:qFormat/>
    <w:pPr>
      <w:spacing w:lineRule="auto" w:line="276" w:before="0" w:after="200"/>
      <w:ind w:hanging="0" w:left="720"/>
      <w:contextualSpacing/>
    </w:pPr>
    <w:rPr>
      <w:rFonts w:ascii="Calibri" w:hAnsi="Calibri"/>
      <w:sz w:val="22"/>
      <w:szCs w:val="22"/>
      <w:lang w:eastAsia="en-US"/>
    </w:rPr>
  </w:style>
  <w:style w:type="paragraph" w:styleId="Style30" w:customStyle="1">
    <w:name w:val="Таблица"/>
    <w:basedOn w:val="Normal"/>
    <w:qFormat/>
    <w:pPr>
      <w:keepNext w:val="true"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styleId="Style31" w:customStyle="1">
    <w:name w:val="Таблица шапка"/>
    <w:basedOn w:val="Normal"/>
    <w:qFormat/>
    <w:pPr>
      <w:keepNext w:val="true"/>
      <w:spacing w:before="40" w:after="40"/>
      <w:ind w:hanging="0" w:left="57" w:right="57"/>
    </w:pPr>
    <w:rPr>
      <w:sz w:val="22"/>
      <w:szCs w:val="26"/>
    </w:rPr>
  </w:style>
  <w:style w:type="paragraph" w:styleId="Style32" w:customStyle="1">
    <w:name w:val="Подподпункт"/>
    <w:basedOn w:val="Style24"/>
    <w:link w:val="Style9"/>
    <w:qFormat/>
    <w:pPr>
      <w:tabs>
        <w:tab w:val="clear" w:pos="1134"/>
        <w:tab w:val="left" w:pos="5104" w:leader="none"/>
      </w:tabs>
      <w:snapToGrid w:val="true"/>
      <w:spacing w:lineRule="auto" w:line="240" w:before="120" w:after="0"/>
      <w:ind w:hanging="567" w:left="5104"/>
    </w:pPr>
    <w:rPr>
      <w:sz w:val="26"/>
      <w:szCs w:val="26"/>
      <w:lang w:val="ru-RU" w:eastAsia="ru-RU"/>
    </w:rPr>
  </w:style>
  <w:style w:type="paragraph" w:styleId="Style33" w:customStyle="1">
    <w:name w:val="УРОВЕНЬ_(а)"/>
    <w:basedOn w:val="ListParagraph"/>
    <w:qFormat/>
    <w:pPr>
      <w:numPr>
        <w:ilvl w:val="3"/>
        <w:numId w:val="4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pPr>
      <w:numPr>
        <w:ilvl w:val="4"/>
        <w:numId w:val="4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7" w:customStyle="1">
    <w:name w:val="УРОВЕНЬ_Абзац_тип2"/>
    <w:basedOn w:val="ListParagraph"/>
    <w:qFormat/>
    <w:pPr>
      <w:numPr>
        <w:ilvl w:val="6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6" w:customStyle="1">
    <w:name w:val="УРОВЕНЬ_Абзац_тип3"/>
    <w:basedOn w:val="ListParagraph"/>
    <w:link w:val="31"/>
    <w:qFormat/>
    <w:pPr>
      <w:numPr>
        <w:ilvl w:val="7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Style34" w:customStyle="1">
    <w:name w:val="УРОВЕНЬ_Подпись"/>
    <w:basedOn w:val="ListParagraph"/>
    <w:qFormat/>
    <w:pPr>
      <w:keepNext w:val="true"/>
      <w:numPr>
        <w:ilvl w:val="5"/>
        <w:numId w:val="4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8" w:customStyle="1">
    <w:name w:val="Стиль Заголовок 1 + по ширине"/>
    <w:basedOn w:val="Heading1"/>
    <w:qFormat/>
    <w:pPr>
      <w:keepLines/>
      <w:tabs>
        <w:tab w:val="clear" w:pos="0"/>
        <w:tab w:val="clear" w:pos="735"/>
        <w:tab w:val="clear" w:pos="960"/>
        <w:tab w:val="left" w:pos="567" w:leader="none"/>
      </w:tabs>
      <w:spacing w:before="480" w:after="240"/>
      <w:ind w:hanging="567" w:left="567"/>
      <w:jc w:val="both"/>
    </w:pPr>
    <w:rPr>
      <w:rFonts w:ascii="Arial" w:hAnsi="Arial" w:eastAsia="Times New Roman"/>
      <w:bCs/>
      <w:kern w:val="2"/>
      <w:sz w:val="40"/>
      <w:szCs w:val="20"/>
      <w:lang w:val="ru-RU" w:eastAsia="ru-RU"/>
    </w:rPr>
  </w:style>
  <w:style w:type="paragraph" w:styleId="EndnoteText">
    <w:name w:val="Endnote Text"/>
    <w:basedOn w:val="Normal"/>
    <w:link w:val="Style12"/>
    <w:pPr/>
    <w:rPr>
      <w:sz w:val="20"/>
      <w:szCs w:val="20"/>
    </w:rPr>
  </w:style>
  <w:style w:type="paragraph" w:styleId="28" w:customStyle="1">
    <w:name w:val="Заголовок 2 КВВ"/>
    <w:basedOn w:val="Normal"/>
    <w:qFormat/>
    <w:pPr>
      <w:keepNext w:val="true"/>
      <w:numPr>
        <w:ilvl w:val="0"/>
        <w:numId w:val="5"/>
      </w:numPr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styleId="Style35" w:customStyle="1">
    <w:name w:val="Таблица текст"/>
    <w:basedOn w:val="Normal"/>
    <w:qFormat/>
    <w:pPr>
      <w:spacing w:before="40" w:after="40"/>
      <w:ind w:hanging="0" w:left="57" w:right="57"/>
    </w:pPr>
    <w:rPr>
      <w:sz w:val="24"/>
      <w:szCs w:val="26"/>
    </w:rPr>
  </w:style>
  <w:style w:type="paragraph" w:styleId="NormalWeb">
    <w:name w:val="Normal (Web)"/>
    <w:basedOn w:val="Normal"/>
    <w:qFormat/>
    <w:pPr>
      <w:spacing w:before="280" w:after="280"/>
    </w:pPr>
    <w:rPr>
      <w:sz w:val="24"/>
      <w:szCs w:val="24"/>
    </w:rPr>
  </w:style>
  <w:style w:type="paragraph" w:styleId="19" w:customStyle="1">
    <w:name w:val="УРОВЕНЬ_1."/>
    <w:basedOn w:val="ListParagraph"/>
    <w:link w:val="12"/>
    <w:qFormat/>
    <w:pPr>
      <w:keepNext w:val="true"/>
      <w:keepLines/>
      <w:spacing w:lineRule="auto" w:line="276" w:before="240" w:after="120"/>
      <w:ind w:hanging="0" w:left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TOC6">
    <w:name w:val="TOC 6"/>
    <w:basedOn w:val="Normal"/>
    <w:next w:val="Normal"/>
    <w:autoRedefine/>
    <w:pPr>
      <w:ind w:hanging="0" w:left="1120"/>
    </w:pPr>
    <w:rPr>
      <w:rFonts w:ascii="Calibri" w:hAnsi="Calibri" w:cs="Calibri"/>
      <w:sz w:val="20"/>
      <w:szCs w:val="20"/>
    </w:rPr>
  </w:style>
  <w:style w:type="paragraph" w:styleId="TOC7">
    <w:name w:val="TOC 7"/>
    <w:basedOn w:val="Normal"/>
    <w:next w:val="Normal"/>
    <w:autoRedefine/>
    <w:pPr>
      <w:ind w:hanging="0" w:left="1400"/>
    </w:pPr>
    <w:rPr>
      <w:rFonts w:ascii="Calibri" w:hAnsi="Calibri" w:cs="Calibri"/>
      <w:sz w:val="20"/>
      <w:szCs w:val="20"/>
    </w:rPr>
  </w:style>
  <w:style w:type="paragraph" w:styleId="TOC8">
    <w:name w:val="TOC 8"/>
    <w:basedOn w:val="Normal"/>
    <w:next w:val="Normal"/>
    <w:autoRedefine/>
    <w:pPr>
      <w:ind w:hanging="0" w:left="1680"/>
    </w:pPr>
    <w:rPr>
      <w:rFonts w:ascii="Calibri" w:hAnsi="Calibri" w:cs="Calibri"/>
      <w:sz w:val="20"/>
      <w:szCs w:val="20"/>
    </w:rPr>
  </w:style>
  <w:style w:type="paragraph" w:styleId="Toaheading">
    <w:name w:val="toa heading"/>
    <w:basedOn w:val="Normal"/>
    <w:next w:val="Normal"/>
    <w:qFormat/>
    <w:pPr>
      <w:spacing w:before="120" w:after="0"/>
    </w:pPr>
    <w:rPr>
      <w:rFonts w:ascii="Calibri Light" w:hAnsi="Calibri Light"/>
      <w:b/>
      <w:bCs/>
      <w:sz w:val="24"/>
      <w:szCs w:val="24"/>
    </w:rPr>
  </w:style>
  <w:style w:type="paragraph" w:styleId="Style36" w:customStyle="1">
    <w:name w:val="Содержимое врезки"/>
    <w:basedOn w:val="Normal"/>
    <w:qFormat/>
    <w:pPr/>
    <w:rPr/>
  </w:style>
  <w:style w:type="paragraph" w:styleId="Style37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38" w:customStyle="1">
    <w:name w:val="Заголовок таблицы"/>
    <w:basedOn w:val="Style37"/>
    <w:qFormat/>
    <w:pPr>
      <w:jc w:val="center"/>
    </w:pPr>
    <w:rPr>
      <w:b/>
      <w:bCs/>
    </w:rPr>
  </w:style>
  <w:style w:type="paragraph" w:styleId="Style39" w:customStyle="1">
    <w:name w:val="Текст в заданном формате"/>
    <w:basedOn w:val="Normal"/>
    <w:qFormat/>
    <w:pPr/>
    <w:rPr>
      <w:rFonts w:ascii="Liberation Mono" w:hAnsi="Liberation Mono" w:eastAsia="Liberation Mono" w:cs="Liberation Mono"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numbering" w:styleId="110" w:customStyle="1">
    <w:name w:val="Стиль1"/>
    <w:qFormat/>
  </w:style>
  <w:style w:type="numbering" w:styleId="29" w:customStyle="1">
    <w:name w:val="Стиль2"/>
    <w:qFormat/>
  </w:style>
  <w:style w:type="numbering" w:styleId="19494784021" w:customStyle="1">
    <w:name w:val="19494784021"/>
    <w:qFormat/>
  </w:style>
  <w:style w:type="numbering" w:styleId="883559781" w:customStyle="1">
    <w:name w:val="883559781"/>
    <w:qFormat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header" Target="header4.xml"/><Relationship Id="rId9" Type="http://schemas.openxmlformats.org/officeDocument/2006/relationships/header" Target="header5.xml"/><Relationship Id="rId10" Type="http://schemas.openxmlformats.org/officeDocument/2006/relationships/footer" Target="footer4.xml"/><Relationship Id="rId11" Type="http://schemas.openxmlformats.org/officeDocument/2006/relationships/footer" Target="footer5.xml"/><Relationship Id="rId12" Type="http://schemas.openxmlformats.org/officeDocument/2006/relationships/numbering" Target="numbering.xml"/><Relationship Id="rId13" Type="http://schemas.openxmlformats.org/officeDocument/2006/relationships/fontTable" Target="fontTable.xml"/><Relationship Id="rId14" Type="http://schemas.openxmlformats.org/officeDocument/2006/relationships/settings" Target="settings.xml"/><Relationship Id="rId1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Application>AlterOffice/2026.1.0.0$Linux_X86_64 LibreOffice_project/a0185688e0f3f228c7940c57a96eaa0ebba58757</Application>
  <AppVersion>15.0000</AppVersion>
  <Pages>15</Pages>
  <Words>2993</Words>
  <Characters>20640</Characters>
  <CharactersWithSpaces>23390</CharactersWithSpaces>
  <Paragraphs>274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2026-04-08T13:02:00Z</dcterms:created>
  <dc:creator>Быстров Олег Геннадьевич</dc:creator>
  <dc:description/>
  <dc:language>ru-RU</dc:language>
  <cp:lastModifiedBy>velikosvyatnn@corp.gidroogk.com</cp:lastModifiedBy>
  <cp:lastPrinted>2025-05-19T13:43:00Z</cp:lastPrinted>
  <dcterms:modified xsi:type="dcterms:W3CDTF">2026-05-29T11:42:15Z</dcterms:modified>
  <cp:revision>17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